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jc w:val="center"/>
        <w:rPr>
          <w:sz w:val="32"/>
          <w:szCs w:val="32"/>
        </w:rPr>
      </w:pPr>
      <w:r>
        <w:rPr>
          <w:rStyle w:val="8"/>
          <w:rFonts w:hint="eastAsia"/>
          <w:sz w:val="32"/>
          <w:szCs w:val="32"/>
        </w:rPr>
        <w:t>小额竞价采购工作说明</w:t>
      </w:r>
    </w:p>
    <w:p>
      <w:pPr>
        <w:pStyle w:val="5"/>
        <w:shd w:val="clear" w:color="auto" w:fill="FFFFFF"/>
        <w:spacing w:line="390" w:lineRule="atLeast"/>
        <w:ind w:firstLine="645"/>
        <w:rPr>
          <w:sz w:val="28"/>
          <w:szCs w:val="28"/>
        </w:rPr>
      </w:pPr>
      <w:r>
        <w:rPr>
          <w:rFonts w:hint="eastAsia"/>
          <w:sz w:val="28"/>
          <w:szCs w:val="28"/>
        </w:rPr>
        <w:t>为提高工作效率，实现信息化、规范化和精细化管理，进一步实现提效降本，《太原工业学院招标与采购管理办法》中预算金额1万元（含）—30万元（不含）的院内自行采购项目经审批后通过“太原工业学院小额采购竞价平台”进行采购。小额竞价采购工作要求如下：</w:t>
      </w:r>
    </w:p>
    <w:p>
      <w:pPr>
        <w:pStyle w:val="5"/>
        <w:shd w:val="clear" w:color="auto" w:fill="FFFFFF"/>
        <w:spacing w:line="390" w:lineRule="atLeast"/>
        <w:ind w:firstLine="645"/>
        <w:rPr>
          <w:sz w:val="28"/>
          <w:szCs w:val="28"/>
        </w:rPr>
      </w:pPr>
      <w:r>
        <w:rPr>
          <w:rFonts w:hint="eastAsia"/>
          <w:sz w:val="28"/>
          <w:szCs w:val="28"/>
        </w:rPr>
        <w:t>一、小额竞价采购是通过竞价平台发布信息，在规定时间内接受注册供应商网上报价，依据“符合采购需求且质量和服务相等的前提下，最低价优先”的原则确定成交供应商的采购方式，遵循公开、公平、公正和诚信原则。报价相同时，按照报价时间先后顺序确定。</w:t>
      </w:r>
    </w:p>
    <w:p>
      <w:pPr>
        <w:pStyle w:val="5"/>
        <w:shd w:val="clear" w:color="auto" w:fill="FFFFFF"/>
        <w:spacing w:line="390" w:lineRule="atLeast"/>
        <w:ind w:firstLine="645"/>
        <w:rPr>
          <w:color w:val="FF0000"/>
          <w:sz w:val="28"/>
          <w:szCs w:val="28"/>
          <w:u w:val="none"/>
        </w:rPr>
      </w:pPr>
      <w:r>
        <w:rPr>
          <w:rFonts w:hint="eastAsia"/>
          <w:sz w:val="28"/>
          <w:szCs w:val="28"/>
        </w:rPr>
        <w:t>二、项目单位对小额竞价采购项目的需求、预算编制以及采购业务的真实性、合法合规性等承担主体责任。凡能打包执行学院集中采购的应打包采购，避免化整为零现象发生，也不得将依规进行网上竞价的采购项目化整为零或者以其他任何方式规避竞价。按照《太原工业学院科研项目经费管理办法》的有关规定，使用</w:t>
      </w:r>
      <w:r>
        <w:rPr>
          <w:rFonts w:hint="eastAsia"/>
          <w:color w:val="FF0000"/>
          <w:sz w:val="28"/>
          <w:szCs w:val="28"/>
          <w:u w:val="none"/>
        </w:rPr>
        <w:t>科研经费单次采购5万（不含）元以下的科研专用设备、材料可凭发票据实报销，可不通过竞价平台采购。</w:t>
      </w:r>
    </w:p>
    <w:p>
      <w:pPr>
        <w:pStyle w:val="5"/>
        <w:shd w:val="clear" w:color="auto" w:fill="FFFFFF"/>
        <w:spacing w:line="390" w:lineRule="atLeast"/>
        <w:ind w:firstLine="645"/>
        <w:rPr>
          <w:sz w:val="28"/>
          <w:szCs w:val="28"/>
        </w:rPr>
      </w:pPr>
      <w:r>
        <w:rPr>
          <w:rFonts w:hint="eastAsia"/>
          <w:sz w:val="28"/>
          <w:szCs w:val="28"/>
        </w:rPr>
        <w:t>三、项目单位须对采购标的充分调研，货物类竞价提供详细配置清单并明确技术参数要求，</w:t>
      </w:r>
      <w:r>
        <w:rPr>
          <w:rFonts w:hint="eastAsia"/>
          <w:color w:val="FF0000"/>
          <w:sz w:val="28"/>
          <w:szCs w:val="28"/>
        </w:rPr>
        <w:t>原则上不指定货物品牌型号，确需指定品牌型号至少提供两个以上参考品牌型号</w:t>
      </w:r>
      <w:r>
        <w:rPr>
          <w:rFonts w:hint="eastAsia"/>
          <w:sz w:val="28"/>
          <w:szCs w:val="28"/>
        </w:rPr>
        <w:t>，</w:t>
      </w:r>
      <w:r>
        <w:rPr>
          <w:rFonts w:hint="eastAsia"/>
          <w:color w:val="FF0000"/>
          <w:sz w:val="28"/>
          <w:szCs w:val="28"/>
        </w:rPr>
        <w:t>如只有一种品牌型号能满足参数要求，须经项目单位采购工作小组进行论证，论证结果由采购小组签字盖章后报资产管理部备案</w:t>
      </w:r>
      <w:r>
        <w:rPr>
          <w:rFonts w:hint="eastAsia"/>
          <w:sz w:val="28"/>
          <w:szCs w:val="28"/>
        </w:rPr>
        <w:t>。服务类须提出明确具体的服务要求，工程类提供工程量清单。商务要求应包含履约时间与地点、付款方式、质保期、售后服务要求等。可要求报价供应商提交响应附件，包括对技术参数的响应，特殊资质的证明材料、具体服务方案或施工方案等。项目单位要</w:t>
      </w:r>
      <w:r>
        <w:rPr>
          <w:rFonts w:hint="eastAsia" w:cs="Arial"/>
          <w:color w:val="555555"/>
          <w:sz w:val="30"/>
          <w:szCs w:val="30"/>
        </w:rPr>
        <w:t>确保发布的申购信息真实合规，</w:t>
      </w:r>
      <w:r>
        <w:rPr>
          <w:rFonts w:hint="eastAsia"/>
          <w:sz w:val="28"/>
          <w:szCs w:val="28"/>
        </w:rPr>
        <w:t>细化完整，在公告中未明确出的需求内容不能作为不选择某个供应商的理由，也避免出现供应商响应竞价需求，但项目单位认为其无法保证采购质量拒绝验收的情况。</w:t>
      </w:r>
    </w:p>
    <w:p>
      <w:pPr>
        <w:pStyle w:val="5"/>
        <w:shd w:val="clear" w:color="auto" w:fill="FFFFFF"/>
        <w:spacing w:line="390" w:lineRule="atLeast"/>
        <w:ind w:firstLine="645"/>
        <w:rPr>
          <w:color w:val="FF0000"/>
          <w:sz w:val="28"/>
          <w:szCs w:val="28"/>
        </w:rPr>
      </w:pPr>
      <w:r>
        <w:rPr>
          <w:rFonts w:hint="eastAsia"/>
          <w:sz w:val="28"/>
          <w:szCs w:val="28"/>
        </w:rPr>
        <w:t>四、采购项目无特殊理由不能预付合同款，确实需要预付的，如定制加工产品、研发产品、进口产品，项目单位需提出书面预付理由，合理设定预付比例并提供纸质风险承诺书。</w:t>
      </w:r>
      <w:r>
        <w:rPr>
          <w:rFonts w:hint="eastAsia"/>
          <w:color w:val="FF0000"/>
          <w:sz w:val="28"/>
          <w:szCs w:val="28"/>
        </w:rPr>
        <w:t>10万元</w:t>
      </w:r>
      <w:bookmarkStart w:id="0" w:name="_GoBack"/>
      <w:bookmarkEnd w:id="0"/>
      <w:r>
        <w:rPr>
          <w:rFonts w:hint="eastAsia"/>
          <w:color w:val="FF0000"/>
          <w:sz w:val="28"/>
          <w:szCs w:val="28"/>
        </w:rPr>
        <w:t>以上的货物和服务采购项目，供应商在签订合同前须缴纳合同金额5%的履约保证金，合同履约完成无任何产品质量或服务问题，验收合格后60日内无息退还。</w:t>
      </w:r>
    </w:p>
    <w:p>
      <w:pPr>
        <w:pStyle w:val="5"/>
        <w:shd w:val="clear" w:color="auto" w:fill="FFFFFF"/>
        <w:spacing w:line="390" w:lineRule="atLeast"/>
        <w:ind w:firstLine="645"/>
        <w:rPr>
          <w:sz w:val="28"/>
          <w:szCs w:val="28"/>
        </w:rPr>
      </w:pPr>
      <w:r>
        <w:rPr>
          <w:rFonts w:hint="eastAsia"/>
          <w:sz w:val="28"/>
          <w:szCs w:val="28"/>
        </w:rPr>
        <w:t>五、网上竞价需要两家及以上供应商进行有效报价才能确定成交供应商。如排名在先的供应商候选人存在主动放弃、未实质性响应竞价要求、曾存在不良履约记录、在“信用中国”及“中国政府采购网”中有失信记录等情形，可选择排名第二的供应商，须填写不选择系统推荐排名第一的供应商的理由，并将书面签字盖章材料报资产管理部审核。</w:t>
      </w:r>
    </w:p>
    <w:p>
      <w:pPr>
        <w:widowControl/>
        <w:shd w:val="clear" w:color="auto" w:fill="FFFFFF"/>
        <w:snapToGrid w:val="0"/>
        <w:spacing w:after="240" w:line="560" w:lineRule="atLeast"/>
        <w:ind w:firstLine="560"/>
        <w:jc w:val="left"/>
        <w:rPr>
          <w:rFonts w:ascii="宋体" w:hAnsi="宋体" w:cs="宋体"/>
          <w:kern w:val="0"/>
          <w:sz w:val="28"/>
          <w:szCs w:val="28"/>
        </w:rPr>
      </w:pPr>
      <w:r>
        <w:rPr>
          <w:rFonts w:hint="eastAsia"/>
          <w:sz w:val="28"/>
          <w:szCs w:val="28"/>
        </w:rPr>
        <w:t>六、竞价公告截止后没有供应商报价或只有一家供应商报价，项目单位可在系统中选择延期竞价或修改参数后重新竞价，也可以选择项目终止。</w:t>
      </w:r>
      <w:r>
        <w:rPr>
          <w:rFonts w:hint="eastAsia" w:ascii="宋体" w:hAnsi="宋体" w:cs="宋体"/>
          <w:kern w:val="0"/>
          <w:sz w:val="28"/>
          <w:szCs w:val="28"/>
        </w:rPr>
        <w:t>项目单位变更采购需求重新竞价或取消采购的，应提交经项目负责人、部门负责人签章并加盖部门公章后的书面申请材料，由资产管理部审核备案后方可变更或取消。</w:t>
      </w:r>
    </w:p>
    <w:p>
      <w:pPr>
        <w:pStyle w:val="5"/>
        <w:shd w:val="clear" w:color="auto" w:fill="FFFFFF"/>
        <w:spacing w:line="390" w:lineRule="atLeast"/>
        <w:ind w:firstLine="645"/>
        <w:rPr>
          <w:sz w:val="28"/>
          <w:szCs w:val="28"/>
        </w:rPr>
      </w:pPr>
      <w:r>
        <w:rPr>
          <w:rFonts w:hint="eastAsia"/>
          <w:sz w:val="28"/>
          <w:szCs w:val="28"/>
        </w:rPr>
        <w:t>七、竞价平台采购流程主要包括：</w:t>
      </w:r>
    </w:p>
    <w:p>
      <w:pPr>
        <w:pStyle w:val="5"/>
        <w:shd w:val="clear" w:color="auto" w:fill="FFFFFF"/>
        <w:spacing w:line="390" w:lineRule="atLeast"/>
        <w:ind w:firstLine="645"/>
        <w:rPr>
          <w:sz w:val="28"/>
          <w:szCs w:val="28"/>
        </w:rPr>
      </w:pPr>
      <w:r>
        <w:rPr>
          <w:rFonts w:hint="eastAsia"/>
          <w:sz w:val="28"/>
          <w:szCs w:val="28"/>
        </w:rPr>
        <w:t>1.项目单位提交采购申请，资产管理部审核后发布竞价公告（最少3个自然日）</w:t>
      </w:r>
    </w:p>
    <w:p>
      <w:pPr>
        <w:pStyle w:val="5"/>
        <w:shd w:val="clear" w:color="auto" w:fill="FFFFFF"/>
        <w:spacing w:line="390" w:lineRule="atLeast"/>
        <w:ind w:firstLine="645"/>
        <w:rPr>
          <w:sz w:val="28"/>
          <w:szCs w:val="28"/>
        </w:rPr>
      </w:pPr>
      <w:r>
        <w:rPr>
          <w:rFonts w:hint="eastAsia"/>
          <w:sz w:val="28"/>
          <w:szCs w:val="28"/>
        </w:rPr>
        <w:t>2.供应商进行响应报价</w:t>
      </w:r>
    </w:p>
    <w:p>
      <w:pPr>
        <w:pStyle w:val="5"/>
        <w:shd w:val="clear" w:color="auto" w:fill="FFFFFF"/>
        <w:spacing w:line="390" w:lineRule="atLeast"/>
        <w:ind w:firstLine="645"/>
        <w:rPr>
          <w:sz w:val="28"/>
          <w:szCs w:val="28"/>
        </w:rPr>
      </w:pPr>
      <w:r>
        <w:rPr>
          <w:rFonts w:hint="eastAsia"/>
          <w:sz w:val="28"/>
          <w:szCs w:val="28"/>
        </w:rPr>
        <w:t>3.项目单位初选拟成交供应商，经资产管理部审核确认成交结果并公示（1个工作日）</w:t>
      </w:r>
    </w:p>
    <w:p>
      <w:pPr>
        <w:pStyle w:val="5"/>
        <w:shd w:val="clear" w:color="auto" w:fill="FFFFFF"/>
        <w:spacing w:line="390" w:lineRule="atLeast"/>
        <w:ind w:firstLine="645"/>
        <w:rPr>
          <w:sz w:val="28"/>
          <w:szCs w:val="28"/>
        </w:rPr>
      </w:pPr>
      <w:r>
        <w:rPr>
          <w:rFonts w:hint="eastAsia"/>
          <w:sz w:val="28"/>
          <w:szCs w:val="28"/>
        </w:rPr>
        <w:t>4.项目单位在系统内生成成交通知书，盖章后上传由供应商下载。</w:t>
      </w:r>
    </w:p>
    <w:p>
      <w:pPr>
        <w:pStyle w:val="5"/>
        <w:shd w:val="clear" w:color="auto" w:fill="FFFFFF"/>
        <w:spacing w:line="390" w:lineRule="atLeast"/>
        <w:ind w:firstLine="645"/>
        <w:rPr>
          <w:sz w:val="28"/>
          <w:szCs w:val="28"/>
        </w:rPr>
      </w:pPr>
      <w:r>
        <w:rPr>
          <w:rFonts w:hint="eastAsia"/>
          <w:sz w:val="28"/>
          <w:szCs w:val="28"/>
        </w:rPr>
        <w:t>5.项目负责人按照竞价结果在系统中起草合同，一般情况应按系统内置合同模板，如有特殊情况可自拟合同，经本单位负责人、资产管理部和法律顾问审核后按照《太原工业学院合同审批管理办法》规定的程序审签，与成交供应商订立书面合同并组织实施。</w:t>
      </w:r>
    </w:p>
    <w:p>
      <w:pPr>
        <w:pStyle w:val="5"/>
        <w:shd w:val="clear" w:color="auto" w:fill="FFFFFF"/>
        <w:spacing w:line="390" w:lineRule="atLeast"/>
        <w:ind w:firstLine="645"/>
        <w:rPr>
          <w:sz w:val="28"/>
          <w:szCs w:val="28"/>
        </w:rPr>
      </w:pPr>
      <w:r>
        <w:rPr>
          <w:rFonts w:hint="eastAsia"/>
          <w:sz w:val="28"/>
          <w:szCs w:val="28"/>
        </w:rPr>
        <w:t>具体竞价、审核流程见附件。</w:t>
      </w:r>
    </w:p>
    <w:p>
      <w:pPr>
        <w:pStyle w:val="5"/>
        <w:shd w:val="clear" w:color="auto" w:fill="FFFFFF"/>
        <w:spacing w:line="390" w:lineRule="atLeast"/>
        <w:ind w:firstLine="645"/>
      </w:pPr>
      <w:r>
        <w:rPr>
          <w:rFonts w:hint="eastAsia"/>
          <w:sz w:val="28"/>
          <w:szCs w:val="28"/>
        </w:rPr>
        <w:t>八、项目单位自行组织供货、完成服务（工程）后进行验收，及时办理资产入账及付款手续。服务类采购项目由项目单位负责组织验收；工程类采购项目由后勤保障部组织验收；仪器设备类采购项目的验收由项目单位按《太原工业学院仪器设备（物资）验收的相关规定》的要求进行验收，验收合格之后项目单位应及时办理入账及付款手续。项目单位单方面不履行采购合同属违约行为，因此引起的一切后果由项目单位负责。</w:t>
      </w:r>
    </w:p>
    <w:p>
      <w:pPr>
        <w:tabs>
          <w:tab w:val="left" w:pos="717"/>
        </w:tabs>
        <w:jc w:val="left"/>
        <w:rPr>
          <w:sz w:val="28"/>
          <w:szCs w:val="28"/>
        </w:rPr>
      </w:pPr>
      <w:r>
        <w:rPr>
          <w:rFonts w:hint="eastAsia"/>
          <w:sz w:val="28"/>
          <w:szCs w:val="28"/>
        </w:rPr>
        <w:t xml:space="preserve">附件1： </w:t>
      </w:r>
    </w:p>
    <w:p>
      <w:pPr>
        <w:widowControl/>
        <w:jc w:val="left"/>
        <w:rPr>
          <w:sz w:val="24"/>
        </w:rPr>
      </w:pPr>
      <w:r>
        <w:rPr>
          <w:rFonts w:hint="eastAsia"/>
          <w:sz w:val="28"/>
          <w:szCs w:val="28"/>
        </w:rPr>
        <w:t xml:space="preserve">                  </w:t>
      </w:r>
      <w:r>
        <w:rPr>
          <w:rFonts w:hint="eastAsia" w:ascii="黑体" w:hAnsi="宋体" w:eastAsia="黑体" w:cs="黑体"/>
          <w:color w:val="000000"/>
          <w:kern w:val="0"/>
          <w:sz w:val="28"/>
          <w:szCs w:val="28"/>
        </w:rPr>
        <w:t>太原工业学院</w:t>
      </w:r>
      <w:r>
        <w:rPr>
          <w:rFonts w:ascii="黑体" w:hAnsi="宋体" w:eastAsia="黑体" w:cs="黑体"/>
          <w:color w:val="000000"/>
          <w:kern w:val="0"/>
          <w:sz w:val="28"/>
          <w:szCs w:val="28"/>
        </w:rPr>
        <w:t>小额采购竞价流程图</w:t>
      </w:r>
    </w:p>
    <w:p>
      <w:r>
        <w:drawing>
          <wp:inline distT="0" distB="0" distL="0" distR="0">
            <wp:extent cx="5276850" cy="499110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4" cstate="print"/>
                    <a:srcRect/>
                    <a:stretch>
                      <a:fillRect/>
                    </a:stretch>
                  </pic:blipFill>
                  <pic:spPr>
                    <a:xfrm>
                      <a:off x="0" y="0"/>
                      <a:ext cx="5276850" cy="4991100"/>
                    </a:xfrm>
                    <a:prstGeom prst="rect">
                      <a:avLst/>
                    </a:prstGeom>
                    <a:noFill/>
                    <a:ln w="9525" cmpd="sng">
                      <a:noFill/>
                      <a:miter lim="800000"/>
                      <a:headEnd/>
                      <a:tailEnd/>
                    </a:ln>
                  </pic:spPr>
                </pic:pic>
              </a:graphicData>
            </a:graphic>
          </wp:inline>
        </w:drawing>
      </w:r>
    </w:p>
    <w:p>
      <w:pPr>
        <w:tabs>
          <w:tab w:val="left" w:pos="717"/>
        </w:tabs>
        <w:jc w:val="left"/>
        <w:rPr>
          <w:sz w:val="28"/>
          <w:szCs w:val="28"/>
        </w:rPr>
      </w:pPr>
      <w:r>
        <w:rPr>
          <w:rFonts w:hint="eastAsia"/>
          <w:sz w:val="28"/>
          <w:szCs w:val="28"/>
        </w:rPr>
        <w:t>附件2</w:t>
      </w:r>
    </w:p>
    <w:p>
      <w:pPr>
        <w:widowControl/>
        <w:jc w:val="center"/>
        <w:rPr>
          <w:sz w:val="24"/>
        </w:rPr>
      </w:pPr>
      <w:r>
        <w:rPr>
          <w:rFonts w:hint="eastAsia" w:ascii="黑体" w:hAnsi="宋体" w:eastAsia="黑体" w:cs="黑体"/>
          <w:color w:val="000000"/>
          <w:kern w:val="0"/>
          <w:sz w:val="28"/>
          <w:szCs w:val="28"/>
        </w:rPr>
        <w:t>太原工业学院</w:t>
      </w:r>
      <w:r>
        <w:rPr>
          <w:rFonts w:ascii="黑体" w:hAnsi="宋体" w:eastAsia="黑体" w:cs="黑体"/>
          <w:color w:val="000000"/>
          <w:kern w:val="0"/>
          <w:sz w:val="28"/>
          <w:szCs w:val="28"/>
        </w:rPr>
        <w:t>小额竞价采购</w:t>
      </w:r>
      <w:r>
        <w:rPr>
          <w:rFonts w:hint="eastAsia" w:ascii="黑体" w:hAnsi="宋体" w:eastAsia="黑体" w:cs="黑体"/>
          <w:color w:val="000000"/>
          <w:kern w:val="0"/>
          <w:sz w:val="28"/>
          <w:szCs w:val="28"/>
        </w:rPr>
        <w:t>审核</w:t>
      </w:r>
      <w:r>
        <w:rPr>
          <w:rFonts w:ascii="黑体" w:hAnsi="宋体" w:eastAsia="黑体" w:cs="黑体"/>
          <w:color w:val="000000"/>
          <w:kern w:val="0"/>
          <w:sz w:val="28"/>
          <w:szCs w:val="28"/>
        </w:rPr>
        <w:t>流程</w:t>
      </w:r>
    </w:p>
    <w:p/>
    <w:p>
      <w:pPr>
        <w:jc w:val="left"/>
      </w:pPr>
      <w:r>
        <w:drawing>
          <wp:inline distT="0" distB="0" distL="0" distR="0">
            <wp:extent cx="5276850" cy="4829175"/>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5" cstate="print"/>
                    <a:srcRect/>
                    <a:stretch>
                      <a:fillRect/>
                    </a:stretch>
                  </pic:blipFill>
                  <pic:spPr>
                    <a:xfrm>
                      <a:off x="0" y="0"/>
                      <a:ext cx="5276850" cy="4829175"/>
                    </a:xfrm>
                    <a:prstGeom prst="rect">
                      <a:avLst/>
                    </a:prstGeom>
                    <a:noFill/>
                    <a:ln w="9525" cmpd="sng">
                      <a:noFill/>
                      <a:miter lim="800000"/>
                      <a:headEnd/>
                      <a:tailEnd/>
                    </a:ln>
                  </pic:spPr>
                </pic:pic>
              </a:graphicData>
            </a:graphic>
          </wp:inline>
        </w:drawing>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YxNjA2MWYzOWFlMzAzZTI1YzBlOTNiMWM0NjBhZWQifQ=="/>
  </w:docVars>
  <w:rsids>
    <w:rsidRoot w:val="005F2EC7"/>
    <w:rsid w:val="00057E43"/>
    <w:rsid w:val="00070875"/>
    <w:rsid w:val="00212F68"/>
    <w:rsid w:val="003D2BB2"/>
    <w:rsid w:val="004321A4"/>
    <w:rsid w:val="00550BB4"/>
    <w:rsid w:val="005B22A5"/>
    <w:rsid w:val="005D1EAD"/>
    <w:rsid w:val="005E7822"/>
    <w:rsid w:val="005F2EC7"/>
    <w:rsid w:val="0061644B"/>
    <w:rsid w:val="007055BE"/>
    <w:rsid w:val="00767C08"/>
    <w:rsid w:val="007C40CE"/>
    <w:rsid w:val="007C6723"/>
    <w:rsid w:val="007F4D3A"/>
    <w:rsid w:val="00837521"/>
    <w:rsid w:val="00954E2C"/>
    <w:rsid w:val="00997047"/>
    <w:rsid w:val="009D4517"/>
    <w:rsid w:val="00A20F69"/>
    <w:rsid w:val="00AB47D7"/>
    <w:rsid w:val="00AE60CC"/>
    <w:rsid w:val="00BD721C"/>
    <w:rsid w:val="00D1458E"/>
    <w:rsid w:val="00E317FD"/>
    <w:rsid w:val="00EF644D"/>
    <w:rsid w:val="00F24E16"/>
    <w:rsid w:val="00FF04E1"/>
    <w:rsid w:val="113166D9"/>
    <w:rsid w:val="121D7395"/>
    <w:rsid w:val="12A653F6"/>
    <w:rsid w:val="16A5395E"/>
    <w:rsid w:val="17224A46"/>
    <w:rsid w:val="19951D4F"/>
    <w:rsid w:val="1DCA3A74"/>
    <w:rsid w:val="25E85ACB"/>
    <w:rsid w:val="2CA935E7"/>
    <w:rsid w:val="2EC05762"/>
    <w:rsid w:val="38764512"/>
    <w:rsid w:val="3F1E0DEC"/>
    <w:rsid w:val="422E72DD"/>
    <w:rsid w:val="44406A3F"/>
    <w:rsid w:val="4D9F79A3"/>
    <w:rsid w:val="4F24012E"/>
    <w:rsid w:val="5EBA31AB"/>
    <w:rsid w:val="62675E7F"/>
    <w:rsid w:val="6EA424B2"/>
    <w:rsid w:val="6FF567DF"/>
    <w:rsid w:val="71E312E7"/>
    <w:rsid w:val="7227389B"/>
    <w:rsid w:val="7E696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2"/>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paragraph" w:customStyle="1" w:styleId="9">
    <w:name w:val="vsbcontent_end"/>
    <w:basedOn w:val="1"/>
    <w:qFormat/>
    <w:uiPriority w:val="0"/>
    <w:pPr>
      <w:widowControl/>
      <w:spacing w:before="100" w:beforeAutospacing="1" w:after="100" w:afterAutospacing="1"/>
      <w:jc w:val="left"/>
    </w:pPr>
    <w:rPr>
      <w:rFonts w:ascii="宋体" w:hAnsi="宋体" w:cs="宋体"/>
      <w:kern w:val="0"/>
      <w:sz w:val="24"/>
    </w:rPr>
  </w:style>
  <w:style w:type="character" w:customStyle="1" w:styleId="10">
    <w:name w:val="批注框文本 Char"/>
    <w:basedOn w:val="7"/>
    <w:link w:val="2"/>
    <w:qFormat/>
    <w:uiPriority w:val="0"/>
    <w:rPr>
      <w:kern w:val="2"/>
      <w:sz w:val="18"/>
      <w:szCs w:val="18"/>
    </w:rPr>
  </w:style>
  <w:style w:type="character" w:customStyle="1" w:styleId="11">
    <w:name w:val="页眉 Char"/>
    <w:basedOn w:val="7"/>
    <w:link w:val="4"/>
    <w:qFormat/>
    <w:uiPriority w:val="0"/>
    <w:rPr>
      <w:kern w:val="2"/>
      <w:sz w:val="18"/>
      <w:szCs w:val="18"/>
    </w:rPr>
  </w:style>
  <w:style w:type="character" w:customStyle="1" w:styleId="12">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1682</Words>
  <Characters>1691</Characters>
  <Lines>12</Lines>
  <Paragraphs>3</Paragraphs>
  <TotalTime>151</TotalTime>
  <ScaleCrop>false</ScaleCrop>
  <LinksUpToDate>false</LinksUpToDate>
  <CharactersWithSpaces>1710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2022-08-15T03:09:00Z</dcterms:created>
  <dc:creator>dell</dc:creator>
  <cp:lastModifiedBy>liuyuwei</cp:lastModifiedBy>
  <dcterms:modified xsi:type="dcterms:W3CDTF">2022-08-30T01:30:41Z</dcterms:modified>
  <dc:title>太原工业学院院内自行采购工作细则</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AACF876AD1C24B8AB760232B1248ABB4</vt:lpwstr>
  </property>
</Properties>
</file>