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/>
        <w:jc w:val="center"/>
        <w:rPr>
          <w:rFonts w:ascii="宋体" w:hAnsi="宋体"/>
          <w:b/>
          <w:szCs w:val="28"/>
        </w:rPr>
      </w:pPr>
    </w:p>
    <w:p>
      <w:pPr>
        <w:ind w:firstLine="562"/>
        <w:jc w:val="center"/>
        <w:rPr>
          <w:rFonts w:ascii="宋体" w:hAnsi="宋体"/>
          <w:b/>
          <w:szCs w:val="28"/>
        </w:rPr>
      </w:pPr>
    </w:p>
    <w:p>
      <w:pPr>
        <w:ind w:firstLine="562"/>
        <w:jc w:val="center"/>
        <w:rPr>
          <w:rFonts w:ascii="宋体" w:hAnsi="宋体"/>
          <w:b/>
          <w:szCs w:val="28"/>
        </w:rPr>
      </w:pPr>
    </w:p>
    <w:p>
      <w:pPr>
        <w:ind w:firstLine="562"/>
        <w:jc w:val="center"/>
        <w:rPr>
          <w:rFonts w:ascii="宋体" w:hAnsi="宋体"/>
          <w:b/>
          <w:szCs w:val="28"/>
        </w:rPr>
      </w:pPr>
    </w:p>
    <w:p>
      <w:pPr>
        <w:ind w:firstLine="562"/>
        <w:jc w:val="center"/>
        <w:rPr>
          <w:rFonts w:ascii="宋体" w:hAnsi="宋体"/>
          <w:b/>
          <w:szCs w:val="28"/>
        </w:rPr>
      </w:pPr>
    </w:p>
    <w:p>
      <w:pPr>
        <w:tabs>
          <w:tab w:val="left" w:pos="2220"/>
        </w:tabs>
        <w:ind w:firstLine="1044"/>
        <w:jc w:val="center"/>
        <w:rPr>
          <w:rFonts w:ascii="宋体" w:hAnsi="宋体"/>
          <w:b/>
          <w:sz w:val="52"/>
          <w:szCs w:val="52"/>
        </w:rPr>
      </w:pPr>
      <w:r>
        <w:rPr>
          <w:rFonts w:hint="eastAsia" w:ascii="宋体" w:hAnsi="宋体"/>
          <w:b/>
          <w:sz w:val="52"/>
          <w:szCs w:val="52"/>
        </w:rPr>
        <w:t>太工网上竞价平台</w:t>
      </w:r>
    </w:p>
    <w:p>
      <w:pPr>
        <w:tabs>
          <w:tab w:val="left" w:pos="2220"/>
        </w:tabs>
        <w:ind w:firstLine="1044"/>
        <w:jc w:val="center"/>
        <w:rPr>
          <w:rFonts w:ascii="宋体" w:hAnsi="宋体"/>
          <w:sz w:val="52"/>
          <w:szCs w:val="52"/>
        </w:rPr>
      </w:pPr>
      <w:r>
        <w:rPr>
          <w:rFonts w:hint="eastAsia" w:ascii="宋体" w:hAnsi="宋体"/>
          <w:b/>
          <w:sz w:val="52"/>
          <w:szCs w:val="52"/>
        </w:rPr>
        <w:t>企业微信端使用说明</w:t>
      </w:r>
    </w:p>
    <w:p>
      <w:pPr>
        <w:ind w:firstLine="883"/>
        <w:jc w:val="center"/>
        <w:rPr>
          <w:rFonts w:ascii="宋体" w:hAnsi="宋体"/>
          <w:b/>
          <w:bCs/>
          <w:sz w:val="44"/>
        </w:rPr>
      </w:pPr>
    </w:p>
    <w:p>
      <w:pPr>
        <w:ind w:firstLine="883"/>
        <w:jc w:val="center"/>
        <w:rPr>
          <w:rFonts w:ascii="宋体" w:hAnsi="宋体"/>
          <w:b/>
          <w:bCs/>
          <w:sz w:val="44"/>
        </w:rPr>
      </w:pPr>
    </w:p>
    <w:p>
      <w:pPr>
        <w:ind w:firstLine="883"/>
        <w:jc w:val="center"/>
        <w:rPr>
          <w:rFonts w:ascii="宋体" w:hAnsi="宋体"/>
          <w:b/>
          <w:bCs/>
          <w:sz w:val="44"/>
        </w:rPr>
      </w:pPr>
    </w:p>
    <w:p>
      <w:pPr>
        <w:ind w:firstLine="883"/>
        <w:jc w:val="center"/>
        <w:rPr>
          <w:rFonts w:ascii="宋体" w:hAnsi="宋体"/>
          <w:b/>
          <w:bCs/>
          <w:sz w:val="44"/>
        </w:rPr>
      </w:pPr>
    </w:p>
    <w:p>
      <w:pPr>
        <w:ind w:firstLine="883"/>
        <w:jc w:val="center"/>
        <w:rPr>
          <w:rFonts w:ascii="宋体" w:hAnsi="宋体"/>
          <w:b/>
          <w:bCs/>
          <w:sz w:val="44"/>
        </w:rPr>
      </w:pPr>
    </w:p>
    <w:p>
      <w:pPr>
        <w:ind w:firstLine="883"/>
        <w:jc w:val="center"/>
        <w:rPr>
          <w:rFonts w:ascii="宋体" w:hAnsi="宋体"/>
          <w:b/>
          <w:bCs/>
          <w:sz w:val="44"/>
        </w:rPr>
      </w:pPr>
    </w:p>
    <w:p>
      <w:pPr>
        <w:ind w:firstLine="883"/>
        <w:jc w:val="center"/>
        <w:rPr>
          <w:rFonts w:ascii="宋体" w:hAnsi="宋体"/>
          <w:b/>
          <w:bCs/>
          <w:sz w:val="44"/>
        </w:rPr>
      </w:pPr>
    </w:p>
    <w:p>
      <w:pPr>
        <w:ind w:firstLine="883"/>
        <w:jc w:val="center"/>
        <w:rPr>
          <w:rFonts w:ascii="宋体" w:hAnsi="宋体"/>
          <w:b/>
          <w:bCs/>
          <w:sz w:val="44"/>
        </w:rPr>
      </w:pPr>
    </w:p>
    <w:p>
      <w:pPr>
        <w:ind w:firstLine="482"/>
        <w:jc w:val="center"/>
        <w:rPr>
          <w:rFonts w:ascii="宋体" w:hAnsi="宋体"/>
          <w:b/>
          <w:bCs/>
          <w:sz w:val="44"/>
        </w:rPr>
      </w:pPr>
      <w:r>
        <w:rPr>
          <w:rFonts w:hint="eastAsia" w:ascii="宋体"/>
          <w:b/>
          <w:bCs/>
          <w:sz w:val="24"/>
          <w:szCs w:val="21"/>
        </w:rPr>
        <w:t>上海瞬速信息技术有限公司</w:t>
      </w:r>
    </w:p>
    <w:p>
      <w:pPr>
        <w:ind w:firstLine="560"/>
        <w:jc w:val="center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2</w:t>
      </w:r>
      <w:r>
        <w:rPr>
          <w:rFonts w:ascii="宋体" w:hAnsi="宋体"/>
          <w:szCs w:val="28"/>
        </w:rPr>
        <w:t>022</w:t>
      </w:r>
      <w:r>
        <w:rPr>
          <w:rFonts w:hint="eastAsia" w:ascii="宋体" w:hAnsi="宋体"/>
          <w:szCs w:val="28"/>
        </w:rPr>
        <w:t>年</w:t>
      </w:r>
      <w:r>
        <w:rPr>
          <w:rFonts w:ascii="宋体" w:hAnsi="宋体"/>
          <w:szCs w:val="28"/>
        </w:rPr>
        <w:t>1</w:t>
      </w:r>
      <w:r>
        <w:rPr>
          <w:rFonts w:hint="eastAsia" w:ascii="宋体" w:hAnsi="宋体"/>
          <w:szCs w:val="28"/>
        </w:rPr>
        <w:t>月</w:t>
      </w:r>
    </w:p>
    <w:p>
      <w:pPr>
        <w:pStyle w:val="33"/>
        <w:ind w:firstLine="560"/>
        <w:rPr>
          <w:rFonts w:ascii="宋体" w:hAnsi="宋体" w:eastAsia="宋体"/>
          <w:b/>
        </w:rPr>
      </w:pPr>
      <w:r>
        <w:rPr>
          <w:rFonts w:ascii="宋体" w:hAnsi="宋体"/>
          <w:sz w:val="28"/>
          <w:szCs w:val="28"/>
        </w:rPr>
        <w:br w:type="page"/>
      </w:r>
      <w:r>
        <w:rPr>
          <w:rFonts w:hint="eastAsia" w:ascii="宋体" w:hAnsi="宋体" w:eastAsia="宋体"/>
          <w:b/>
        </w:rPr>
        <w:t>修订记录</w:t>
      </w:r>
    </w:p>
    <w:tbl>
      <w:tblPr>
        <w:tblStyle w:val="15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089"/>
        <w:gridCol w:w="753"/>
        <w:gridCol w:w="3685"/>
        <w:gridCol w:w="12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2"/>
            </w:pPr>
            <w:r>
              <w:rPr>
                <w:rFonts w:hint="eastAsia"/>
              </w:rPr>
              <w:t>日期</w:t>
            </w:r>
          </w:p>
        </w:tc>
        <w:tc>
          <w:tcPr>
            <w:tcW w:w="10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2"/>
            </w:pPr>
            <w:r>
              <w:rPr>
                <w:rFonts w:hint="eastAsia"/>
              </w:rPr>
              <w:t>修订</w:t>
            </w:r>
            <w:r>
              <w:br w:type="textWrapping"/>
            </w:r>
            <w:r>
              <w:rPr>
                <w:rFonts w:hint="eastAsia"/>
              </w:rPr>
              <w:t>版本</w:t>
            </w:r>
          </w:p>
        </w:tc>
        <w:tc>
          <w:tcPr>
            <w:tcW w:w="75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2"/>
            </w:pPr>
            <w:r>
              <w:rPr>
                <w:rFonts w:hint="eastAsia"/>
              </w:rPr>
              <w:t>修改</w:t>
            </w:r>
            <w:r>
              <w:br w:type="textWrapping"/>
            </w:r>
            <w:r>
              <w:rPr>
                <w:rFonts w:hint="eastAsia"/>
              </w:rPr>
              <w:t>章节</w:t>
            </w:r>
          </w:p>
        </w:tc>
        <w:tc>
          <w:tcPr>
            <w:tcW w:w="3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2"/>
            </w:pPr>
            <w:r>
              <w:rPr>
                <w:rFonts w:hint="eastAsia"/>
              </w:rPr>
              <w:t>修改描述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2"/>
            </w:pPr>
            <w:r>
              <w:rPr>
                <w:rFonts w:hint="eastAsia"/>
              </w:rPr>
              <w:t>作者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atLeast"/>
          <w:jc w:val="center"/>
        </w:trPr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jc w:val="center"/>
            </w:pPr>
            <w:r>
              <w:rPr>
                <w:rFonts w:hint="eastAsia"/>
              </w:rPr>
              <w:t>2</w:t>
            </w:r>
            <w:r>
              <w:t>0220</w:t>
            </w:r>
            <w:r>
              <w:rPr>
                <w:rFonts w:hint="eastAsia"/>
                <w:lang w:val="en-US" w:eastAsia="zh-CN"/>
              </w:rPr>
              <w:t>7</w:t>
            </w:r>
            <w:r>
              <w:t>22</w:t>
            </w:r>
          </w:p>
        </w:tc>
        <w:tc>
          <w:tcPr>
            <w:tcW w:w="10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560"/>
              <w:jc w:val="center"/>
            </w:pPr>
            <w:r>
              <w:t>2.0</w:t>
            </w:r>
          </w:p>
        </w:tc>
        <w:tc>
          <w:tcPr>
            <w:tcW w:w="75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480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</w:pPr>
            <w:r>
              <w:rPr>
                <w:rFonts w:hint="eastAsia"/>
              </w:rPr>
              <w:t>按照新程序更新内容，整理目录，分为两个大模块（高校采购人）。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jc w:val="center"/>
            </w:pPr>
            <w:r>
              <w:rPr>
                <w:rFonts w:hint="eastAsia"/>
              </w:rPr>
              <w:t>乔康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atLeast"/>
          <w:jc w:val="center"/>
        </w:trPr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560"/>
              <w:jc w:val="center"/>
            </w:pPr>
          </w:p>
        </w:tc>
        <w:tc>
          <w:tcPr>
            <w:tcW w:w="10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560"/>
              <w:jc w:val="center"/>
            </w:pPr>
          </w:p>
        </w:tc>
        <w:tc>
          <w:tcPr>
            <w:tcW w:w="75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480"/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560"/>
              <w:jc w:val="center"/>
            </w:pPr>
            <w:bookmarkStart w:id="14" w:name="_GoBack"/>
            <w:bookmarkEnd w:id="14"/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560"/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atLeast"/>
          <w:jc w:val="center"/>
        </w:trPr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560"/>
              <w:jc w:val="center"/>
            </w:pPr>
          </w:p>
        </w:tc>
        <w:tc>
          <w:tcPr>
            <w:tcW w:w="10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560"/>
              <w:jc w:val="center"/>
            </w:pPr>
          </w:p>
        </w:tc>
        <w:tc>
          <w:tcPr>
            <w:tcW w:w="75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480"/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560"/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560"/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atLeast"/>
          <w:jc w:val="center"/>
        </w:trPr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560"/>
              <w:jc w:val="center"/>
            </w:pPr>
          </w:p>
        </w:tc>
        <w:tc>
          <w:tcPr>
            <w:tcW w:w="10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560"/>
              <w:jc w:val="center"/>
            </w:pPr>
          </w:p>
        </w:tc>
        <w:tc>
          <w:tcPr>
            <w:tcW w:w="75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480"/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560"/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560"/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atLeast"/>
          <w:jc w:val="center"/>
        </w:trPr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560"/>
              <w:jc w:val="center"/>
            </w:pPr>
          </w:p>
        </w:tc>
        <w:tc>
          <w:tcPr>
            <w:tcW w:w="10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560"/>
              <w:jc w:val="center"/>
            </w:pPr>
          </w:p>
        </w:tc>
        <w:tc>
          <w:tcPr>
            <w:tcW w:w="75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480"/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560"/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4"/>
              <w:ind w:firstLine="560"/>
              <w:jc w:val="center"/>
            </w:pPr>
          </w:p>
        </w:tc>
      </w:tr>
    </w:tbl>
    <w:p>
      <w:pPr>
        <w:ind w:firstLine="560"/>
        <w:jc w:val="center"/>
        <w:rPr>
          <w:rFonts w:ascii="宋体" w:hAnsi="宋体"/>
          <w:szCs w:val="28"/>
        </w:rPr>
      </w:pPr>
    </w:p>
    <w:p>
      <w:pPr>
        <w:widowControl/>
        <w:spacing w:line="240" w:lineRule="auto"/>
        <w:ind w:firstLine="0" w:firstLineChars="0"/>
        <w:jc w:val="left"/>
        <w:rPr>
          <w:rFonts w:ascii="宋体" w:hAnsi="宋体"/>
          <w:b/>
          <w:bCs/>
          <w:kern w:val="44"/>
          <w:szCs w:val="28"/>
        </w:rPr>
      </w:pPr>
      <w:r>
        <w:rPr>
          <w:rFonts w:ascii="宋体" w:hAnsi="宋体"/>
          <w:szCs w:val="28"/>
        </w:rPr>
        <w:br w:type="page"/>
      </w:r>
    </w:p>
    <w:sdt>
      <w:sdtPr>
        <w:rPr>
          <w:rFonts w:eastAsia="宋体" w:asciiTheme="minorHAnsi" w:hAnsiTheme="minorHAnsi" w:cstheme="minorBidi"/>
          <w:color w:val="auto"/>
          <w:kern w:val="2"/>
          <w:sz w:val="28"/>
          <w:szCs w:val="22"/>
          <w:lang w:val="zh-CN"/>
        </w:rPr>
        <w:id w:val="-463431279"/>
        <w:docPartObj>
          <w:docPartGallery w:val="Table of Contents"/>
          <w:docPartUnique/>
        </w:docPartObj>
      </w:sdtPr>
      <w:sdtEndPr>
        <w:rPr>
          <w:rFonts w:eastAsia="宋体" w:asciiTheme="minorHAnsi" w:hAnsiTheme="minorHAnsi" w:cstheme="minorBidi"/>
          <w:b/>
          <w:bCs/>
          <w:color w:val="auto"/>
          <w:kern w:val="2"/>
          <w:sz w:val="28"/>
          <w:szCs w:val="22"/>
          <w:lang w:val="zh-CN"/>
        </w:rPr>
      </w:sdtEndPr>
      <w:sdtContent>
        <w:p>
          <w:pPr>
            <w:pStyle w:val="35"/>
            <w:ind w:firstLine="560"/>
            <w:jc w:val="center"/>
            <w:rPr>
              <w:rFonts w:ascii="宋体" w:hAnsi="宋体" w:eastAsia="宋体"/>
              <w:b/>
              <w:bCs/>
              <w:sz w:val="28"/>
              <w:szCs w:val="28"/>
            </w:rPr>
          </w:pPr>
          <w:r>
            <w:rPr>
              <w:rFonts w:ascii="宋体" w:hAnsi="宋体" w:eastAsia="宋体"/>
              <w:sz w:val="28"/>
              <w:szCs w:val="28"/>
              <w:lang w:val="zh-CN"/>
            </w:rPr>
            <w:t>目录</w:t>
          </w:r>
        </w:p>
        <w:p>
          <w:pPr>
            <w:pStyle w:val="12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"_Toc23612" </w:instrText>
          </w:r>
          <w:r>
            <w:fldChar w:fldCharType="separate"/>
          </w:r>
          <w:r>
            <w:t xml:space="preserve">一、 </w:t>
          </w:r>
          <w:r>
            <w:rPr>
              <w:rFonts w:hint="eastAsia"/>
            </w:rPr>
            <w:t>“太工网上竞价平台企业微信端”简介</w:t>
          </w:r>
          <w:r>
            <w:tab/>
          </w:r>
          <w:r>
            <w:fldChar w:fldCharType="begin"/>
          </w:r>
          <w:r>
            <w:instrText xml:space="preserve"> PAGEREF _Toc23612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"_Toc23365" </w:instrText>
          </w:r>
          <w:r>
            <w:fldChar w:fldCharType="separate"/>
          </w:r>
          <w:r>
            <w:t>二、 “</w:t>
          </w:r>
          <w:r>
            <w:rPr>
              <w:rFonts w:hint="eastAsia"/>
            </w:rPr>
            <w:t>太工网上竞价平台企业微信端</w:t>
          </w:r>
          <w:r>
            <w:t>”</w:t>
          </w:r>
          <w:r>
            <w:rPr>
              <w:rFonts w:hint="eastAsia"/>
            </w:rPr>
            <w:t>使用方法</w:t>
          </w:r>
          <w:r>
            <w:tab/>
          </w:r>
          <w:r>
            <w:fldChar w:fldCharType="begin"/>
          </w:r>
          <w:r>
            <w:instrText xml:space="preserve"> PAGEREF _Toc23365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  <w:tab w:val="clear" w:pos="2245"/>
              <w:tab w:val="clear" w:pos="8296"/>
            </w:tabs>
          </w:pPr>
          <w:r>
            <w:fldChar w:fldCharType="begin"/>
          </w:r>
          <w:r>
            <w:instrText xml:space="preserve"> HYPERLINK \l "_Toc26813" </w:instrText>
          </w:r>
          <w:r>
            <w:fldChar w:fldCharType="separate"/>
          </w:r>
          <w:r>
            <w:t>2.1</w:t>
          </w:r>
          <w:r>
            <w:rPr>
              <w:rFonts w:hint="eastAsia"/>
            </w:rPr>
            <w:t xml:space="preserve"> 手机端打开企业微信</w:t>
          </w:r>
          <w:r>
            <w:tab/>
          </w:r>
          <w:r>
            <w:fldChar w:fldCharType="begin"/>
          </w:r>
          <w:r>
            <w:instrText xml:space="preserve"> PAGEREF _Toc26813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"_Toc7433" </w:instrText>
          </w:r>
          <w:r>
            <w:fldChar w:fldCharType="separate"/>
          </w:r>
          <w:r>
            <w:t xml:space="preserve">三、 </w:t>
          </w:r>
          <w:r>
            <w:rPr>
              <w:rFonts w:hint="eastAsia"/>
            </w:rPr>
            <w:t>功能方案</w:t>
          </w:r>
          <w:r>
            <w:tab/>
          </w:r>
          <w:r>
            <w:fldChar w:fldCharType="begin"/>
          </w:r>
          <w:r>
            <w:instrText xml:space="preserve"> PAGEREF _Toc7433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  <w:ind w:left="560" w:firstLine="560"/>
          </w:pPr>
          <w:r>
            <w:fldChar w:fldCharType="begin"/>
          </w:r>
          <w:r>
            <w:instrText xml:space="preserve"> HYPERLINK \l "_Toc13502" </w:instrText>
          </w:r>
          <w:r>
            <w:fldChar w:fldCharType="separate"/>
          </w:r>
          <w:r>
            <w:rPr>
              <w:rFonts w:hint="eastAsia"/>
            </w:rPr>
            <w:t>3</w:t>
          </w:r>
          <w:r>
            <w:t xml:space="preserve">.1 </w:t>
          </w:r>
          <w:r>
            <w:rPr>
              <w:rFonts w:hint="eastAsia"/>
            </w:rPr>
            <w:t>电脑端使用企业微信扫码登录</w:t>
          </w:r>
          <w:r>
            <w:tab/>
          </w:r>
          <w:r>
            <w:fldChar w:fldCharType="begin"/>
          </w:r>
          <w:r>
            <w:instrText xml:space="preserve"> PAGEREF _Toc13502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  <w:ind w:left="560" w:firstLine="560"/>
          </w:pPr>
          <w:r>
            <w:fldChar w:fldCharType="begin"/>
          </w:r>
          <w:r>
            <w:instrText xml:space="preserve"> HYPERLINK \l "_Toc12233" </w:instrText>
          </w:r>
          <w:r>
            <w:fldChar w:fldCharType="separate"/>
          </w:r>
          <w:r>
            <w:t xml:space="preserve">3.2 </w:t>
          </w:r>
          <w:r>
            <w:rPr>
              <w:rFonts w:hint="eastAsia"/>
            </w:rPr>
            <w:t>待办信息</w:t>
          </w:r>
          <w:r>
            <w:tab/>
          </w:r>
          <w:r>
            <w:fldChar w:fldCharType="begin"/>
          </w:r>
          <w:r>
            <w:instrText xml:space="preserve"> PAGEREF _Toc12233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  <w:ind w:left="560" w:firstLine="560"/>
          </w:pPr>
          <w:r>
            <w:fldChar w:fldCharType="begin"/>
          </w:r>
          <w:r>
            <w:instrText xml:space="preserve"> HYPERLINK \l "_Toc6232" </w:instrText>
          </w:r>
          <w:r>
            <w:fldChar w:fldCharType="separate"/>
          </w:r>
          <w:r>
            <w:rPr>
              <w:rFonts w:hint="eastAsia"/>
            </w:rPr>
            <w:t>3</w:t>
          </w:r>
          <w:r>
            <w:t>.3</w:t>
          </w:r>
          <w:r>
            <w:rPr>
              <w:rFonts w:hint="eastAsia"/>
            </w:rPr>
            <w:t>采购人模块</w:t>
          </w:r>
          <w:r>
            <w:tab/>
          </w:r>
          <w:r>
            <w:fldChar w:fldCharType="begin"/>
          </w:r>
          <w:r>
            <w:instrText xml:space="preserve"> PAGEREF _Toc6232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  <w:tab w:val="clear" w:pos="2245"/>
              <w:tab w:val="clear" w:pos="8296"/>
            </w:tabs>
          </w:pPr>
          <w:r>
            <w:fldChar w:fldCharType="begin"/>
          </w:r>
          <w:r>
            <w:instrText xml:space="preserve"> HYPERLINK \l "_Toc12550" </w:instrText>
          </w:r>
          <w:r>
            <w:fldChar w:fldCharType="separate"/>
          </w:r>
          <w:r>
            <w:t xml:space="preserve">3.3.1 </w:t>
          </w:r>
          <w:r>
            <w:rPr>
              <w:rFonts w:hint="eastAsia"/>
            </w:rPr>
            <w:t>首页功能</w:t>
          </w:r>
          <w:r>
            <w:tab/>
          </w:r>
          <w:r>
            <w:fldChar w:fldCharType="begin"/>
          </w:r>
          <w:r>
            <w:instrText xml:space="preserve"> PAGEREF _Toc12550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  <w:tab w:val="clear" w:pos="2245"/>
              <w:tab w:val="clear" w:pos="8296"/>
            </w:tabs>
          </w:pPr>
          <w:r>
            <w:fldChar w:fldCharType="begin"/>
          </w:r>
          <w:r>
            <w:instrText xml:space="preserve"> HYPERLINK \l "_Toc4503" </w:instrText>
          </w:r>
          <w:r>
            <w:fldChar w:fldCharType="separate"/>
          </w:r>
          <w:r>
            <w:t xml:space="preserve">3.3.2 </w:t>
          </w:r>
          <w:r>
            <w:rPr>
              <w:rFonts w:hint="eastAsia"/>
            </w:rPr>
            <w:t>采购申请</w:t>
          </w:r>
          <w:r>
            <w:tab/>
          </w:r>
          <w:r>
            <w:fldChar w:fldCharType="begin"/>
          </w:r>
          <w:r>
            <w:instrText xml:space="preserve"> PAGEREF _Toc4503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  <w:tab w:val="clear" w:pos="2245"/>
              <w:tab w:val="clear" w:pos="8296"/>
            </w:tabs>
          </w:pPr>
          <w:r>
            <w:fldChar w:fldCharType="begin"/>
          </w:r>
          <w:r>
            <w:instrText xml:space="preserve"> HYPERLINK \l "_Toc19205" </w:instrText>
          </w:r>
          <w:r>
            <w:fldChar w:fldCharType="separate"/>
          </w:r>
          <w:r>
            <w:rPr>
              <w:rFonts w:hint="eastAsia"/>
            </w:rPr>
            <w:t>3.3.3</w:t>
          </w:r>
          <w:r>
            <w:t xml:space="preserve"> </w:t>
          </w:r>
          <w:r>
            <w:rPr>
              <w:rFonts w:hint="eastAsia"/>
            </w:rPr>
            <w:t>我的竞价项目</w:t>
          </w:r>
          <w:r>
            <w:tab/>
          </w:r>
          <w:r>
            <w:fldChar w:fldCharType="begin"/>
          </w:r>
          <w:r>
            <w:instrText xml:space="preserve"> PAGEREF _Toc19205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  <w:tab w:val="clear" w:pos="2245"/>
              <w:tab w:val="clear" w:pos="8296"/>
            </w:tabs>
          </w:pPr>
          <w:r>
            <w:fldChar w:fldCharType="begin"/>
          </w:r>
          <w:r>
            <w:instrText xml:space="preserve"> HYPERLINK \l "_Toc15494" </w:instrText>
          </w:r>
          <w:r>
            <w:fldChar w:fldCharType="separate"/>
          </w:r>
          <w:r>
            <w:t>3.</w:t>
          </w:r>
          <w:r>
            <w:rPr>
              <w:rFonts w:hint="eastAsia"/>
            </w:rPr>
            <w:t>3.4</w:t>
          </w:r>
          <w:r>
            <w:t xml:space="preserve"> </w:t>
          </w:r>
          <w:r>
            <w:rPr>
              <w:rFonts w:hint="eastAsia"/>
            </w:rPr>
            <w:t>定标管理</w:t>
          </w:r>
          <w:r>
            <w:tab/>
          </w:r>
          <w:r>
            <w:fldChar w:fldCharType="begin"/>
          </w:r>
          <w:r>
            <w:instrText xml:space="preserve"> PAGEREF _Toc15494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  <w:tab w:val="clear" w:pos="2245"/>
              <w:tab w:val="clear" w:pos="8296"/>
            </w:tabs>
          </w:pPr>
          <w:r>
            <w:fldChar w:fldCharType="begin"/>
          </w:r>
          <w:r>
            <w:instrText xml:space="preserve"> HYPERLINK \l "_Toc16663" </w:instrText>
          </w:r>
          <w:r>
            <w:fldChar w:fldCharType="separate"/>
          </w:r>
          <w:r>
            <w:t>3.</w:t>
          </w:r>
          <w:r>
            <w:rPr>
              <w:rFonts w:hint="eastAsia"/>
            </w:rPr>
            <w:t>3.5</w:t>
          </w:r>
          <w:r>
            <w:t xml:space="preserve"> </w:t>
          </w:r>
          <w:r>
            <w:rPr>
              <w:rFonts w:hint="eastAsia"/>
            </w:rPr>
            <w:t>结果公示</w:t>
          </w:r>
          <w:r>
            <w:tab/>
          </w:r>
          <w:r>
            <w:fldChar w:fldCharType="begin"/>
          </w:r>
          <w:r>
            <w:instrText xml:space="preserve"> PAGEREF _Toc16663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  <w:tab w:val="clear" w:pos="2245"/>
              <w:tab w:val="clear" w:pos="8296"/>
            </w:tabs>
          </w:pPr>
          <w:r>
            <w:fldChar w:fldCharType="begin"/>
          </w:r>
          <w:r>
            <w:instrText xml:space="preserve"> HYPERLINK \l "_Toc20700" </w:instrText>
          </w:r>
          <w:r>
            <w:fldChar w:fldCharType="separate"/>
          </w:r>
          <w:r>
            <w:t>3.</w:t>
          </w:r>
          <w:r>
            <w:rPr>
              <w:rFonts w:hint="eastAsia"/>
            </w:rPr>
            <w:t>3.6</w:t>
          </w:r>
          <w:r>
            <w:t xml:space="preserve"> </w:t>
          </w:r>
          <w:r>
            <w:rPr>
              <w:rFonts w:hint="eastAsia"/>
            </w:rPr>
            <w:t>成交通知书</w:t>
          </w:r>
          <w:r>
            <w:tab/>
          </w:r>
          <w:r>
            <w:fldChar w:fldCharType="begin"/>
          </w:r>
          <w:r>
            <w:instrText xml:space="preserve"> PAGEREF _Toc20700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  <w:tab w:val="clear" w:pos="2245"/>
              <w:tab w:val="clear" w:pos="8296"/>
            </w:tabs>
          </w:pPr>
          <w:r>
            <w:fldChar w:fldCharType="begin"/>
          </w:r>
          <w:r>
            <w:instrText xml:space="preserve"> HYPERLINK \l "_Toc3858" </w:instrText>
          </w:r>
          <w:r>
            <w:fldChar w:fldCharType="separate"/>
          </w:r>
          <w:r>
            <w:t>3.</w:t>
          </w:r>
          <w:r>
            <w:rPr>
              <w:rFonts w:hint="eastAsia"/>
            </w:rPr>
            <w:t>3.7</w:t>
          </w:r>
          <w:r>
            <w:t xml:space="preserve"> </w:t>
          </w:r>
          <w:r>
            <w:rPr>
              <w:rFonts w:hint="eastAsia"/>
            </w:rPr>
            <w:t>合同起草</w:t>
          </w:r>
          <w:r>
            <w:tab/>
          </w:r>
          <w:r>
            <w:fldChar w:fldCharType="begin"/>
          </w:r>
          <w:r>
            <w:instrText xml:space="preserve"> PAGEREF _Toc3858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ind w:firstLine="0" w:firstLineChars="0"/>
          </w:pPr>
          <w:r>
            <w:rPr>
              <w:rFonts w:ascii="宋体" w:hAnsi="宋体"/>
              <w:bCs/>
              <w:szCs w:val="28"/>
              <w:lang w:val="zh-CN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</w:pPr>
      <w:r>
        <w:rPr>
          <w:rFonts w:ascii="宋体" w:hAnsi="宋体"/>
          <w:szCs w:val="28"/>
        </w:rPr>
        <w:br w:type="page"/>
      </w:r>
      <w:bookmarkStart w:id="0" w:name="_Toc23612"/>
      <w:r>
        <w:rPr>
          <w:rFonts w:hint="eastAsia"/>
        </w:rPr>
        <w:t>“太工网上竞价平台企业微信端”简介</w:t>
      </w:r>
      <w:bookmarkEnd w:id="0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“太工网上竞价平台企业微信端”是将原电脑端网上竞价平台部分功能在企业微信端操作使用，让采购方式变得更加数字化、网络化、便捷化。目前企业微信端支持的功能模块包括：提交竞价申请、申请审核、采购信息发布、供应商报价、项目定标、成交公告、成交通知书、合同签订；手机端与电脑端相结合全方位为竞价采购保驾护航。</w:t>
      </w:r>
    </w:p>
    <w:p>
      <w:pPr>
        <w:pStyle w:val="2"/>
        <w:numPr>
          <w:ilvl w:val="0"/>
          <w:numId w:val="1"/>
        </w:numPr>
      </w:pPr>
      <w:bookmarkStart w:id="1" w:name="_Toc23365"/>
      <w:r>
        <w:t>“</w:t>
      </w:r>
      <w:r>
        <w:rPr>
          <w:rFonts w:hint="eastAsia"/>
        </w:rPr>
        <w:t>太工网上竞价平台企业微信端</w:t>
      </w:r>
      <w:r>
        <w:t>”</w:t>
      </w:r>
      <w:r>
        <w:rPr>
          <w:rFonts w:hint="eastAsia"/>
        </w:rPr>
        <w:t>使用方法</w:t>
      </w:r>
      <w:bookmarkEnd w:id="1"/>
    </w:p>
    <w:p>
      <w:pPr>
        <w:pStyle w:val="4"/>
      </w:pPr>
      <w:bookmarkStart w:id="2" w:name="_Toc26813"/>
      <w:r>
        <w:t>2.1</w:t>
      </w:r>
      <w:r>
        <w:rPr>
          <w:rFonts w:hint="eastAsia"/>
        </w:rPr>
        <w:t xml:space="preserve"> 手机端打开企业微信</w:t>
      </w:r>
      <w:bookmarkEnd w:id="2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手机端打开企业微信，点击打开【工作台】</w:t>
      </w:r>
      <w:r>
        <w:rPr>
          <w:sz w:val="21"/>
          <w:szCs w:val="21"/>
        </w:rPr>
        <w:t xml:space="preserve"> </w:t>
      </w:r>
    </w:p>
    <w:p>
      <w:pPr>
        <w:ind w:firstLine="560"/>
        <w:jc w:val="center"/>
      </w:pPr>
      <w:r>
        <w:drawing>
          <wp:inline distT="0" distB="0" distL="114300" distR="114300">
            <wp:extent cx="2195195" cy="4690110"/>
            <wp:effectExtent l="0" t="0" r="1460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3889"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900" w:firstLineChars="50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（太工网上竞价平台入口）</w:t>
      </w:r>
    </w:p>
    <w:p>
      <w:pPr>
        <w:pStyle w:val="2"/>
        <w:numPr>
          <w:ilvl w:val="0"/>
          <w:numId w:val="1"/>
        </w:numPr>
      </w:pPr>
      <w:bookmarkStart w:id="3" w:name="_Toc7433"/>
      <w:r>
        <w:rPr>
          <w:rFonts w:hint="eastAsia"/>
        </w:rPr>
        <w:t>功能方案</w:t>
      </w:r>
      <w:bookmarkEnd w:id="3"/>
    </w:p>
    <w:p>
      <w:pPr>
        <w:pStyle w:val="3"/>
      </w:pPr>
      <w:bookmarkStart w:id="4" w:name="_Toc13502"/>
      <w:r>
        <w:rPr>
          <w:rFonts w:hint="eastAsia"/>
        </w:rPr>
        <w:t>3</w:t>
      </w:r>
      <w:r>
        <w:t xml:space="preserve">.1 </w:t>
      </w:r>
      <w:r>
        <w:rPr>
          <w:rFonts w:hint="eastAsia"/>
        </w:rPr>
        <w:t>电脑端使用企业微信扫码登录</w:t>
      </w:r>
      <w:bookmarkEnd w:id="4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 xml:space="preserve">系统登录地址： </w:t>
      </w:r>
      <w:r>
        <w:fldChar w:fldCharType="begin"/>
      </w:r>
      <w:r>
        <w:instrText xml:space="preserve"> HYPERLINK "http://shuncai360.com/tit/index.ghtml" </w:instrText>
      </w:r>
      <w:r>
        <w:fldChar w:fldCharType="separate"/>
      </w:r>
      <w:r>
        <w:rPr>
          <w:rStyle w:val="19"/>
          <w:rFonts w:ascii="宋体" w:hAnsi="宋体"/>
          <w:sz w:val="21"/>
          <w:szCs w:val="21"/>
        </w:rPr>
        <w:t>http://shuncai360.com/tit/index.ghtml</w:t>
      </w:r>
      <w:r>
        <w:rPr>
          <w:rStyle w:val="19"/>
          <w:rFonts w:ascii="宋体" w:hAnsi="宋体"/>
          <w:sz w:val="21"/>
          <w:szCs w:val="21"/>
        </w:rPr>
        <w:fldChar w:fldCharType="end"/>
      </w:r>
      <w:r>
        <w:rPr>
          <w:rFonts w:hint="eastAsia" w:ascii="宋体" w:hAnsi="宋体"/>
          <w:sz w:val="21"/>
          <w:szCs w:val="21"/>
        </w:rPr>
        <w:t>。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登录入口如下图，【统一登录入口】，目前小额竞价平台已对接学校企业微信，仅支持企业微信扫码登陆，使用企业微信扫一扫功能扫描登陆页面二维码即可登陆系统。</w:t>
      </w:r>
    </w:p>
    <w:p>
      <w:pPr>
        <w:ind w:firstLine="0" w:firstLineChars="0"/>
      </w:pPr>
      <w:r>
        <w:drawing>
          <wp:inline distT="0" distB="0" distL="0" distR="0">
            <wp:extent cx="5274310" cy="22593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（统一登录入口）</w:t>
      </w:r>
    </w:p>
    <w:p>
      <w:pPr>
        <w:ind w:firstLine="0" w:firstLineChars="0"/>
        <w:jc w:val="center"/>
        <w:rPr>
          <w:sz w:val="18"/>
          <w:szCs w:val="18"/>
        </w:rPr>
      </w:pPr>
      <w:r>
        <w:drawing>
          <wp:inline distT="0" distB="0" distL="0" distR="0">
            <wp:extent cx="4972685" cy="24853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7099" cy="249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（企业微信扫码登录）</w:t>
      </w:r>
    </w:p>
    <w:p>
      <w:pPr>
        <w:pStyle w:val="3"/>
      </w:pPr>
      <w:bookmarkStart w:id="5" w:name="_Toc12233"/>
      <w:r>
        <w:t xml:space="preserve">3.2 </w:t>
      </w:r>
      <w:r>
        <w:rPr>
          <w:rFonts w:hint="eastAsia"/>
        </w:rPr>
        <w:t>待办信息</w:t>
      </w:r>
      <w:bookmarkEnd w:id="5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待办信息都会通过企业微信【太工网上竞价平台】发送待办提醒，使用人打开企业微信点击消息提醒即可处理待办。</w:t>
      </w:r>
    </w:p>
    <w:p>
      <w:pPr>
        <w:ind w:firstLine="480"/>
        <w:jc w:val="center"/>
        <w:rPr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2133600" cy="4538980"/>
            <wp:effectExtent l="0" t="0" r="0" b="254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t="430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538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2124710" cy="4528185"/>
            <wp:effectExtent l="0" t="0" r="8890" b="13335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t="4197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452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（企业微信消息待办提醒）</w:t>
      </w:r>
    </w:p>
    <w:p>
      <w:pPr>
        <w:pStyle w:val="3"/>
      </w:pPr>
      <w:bookmarkStart w:id="6" w:name="_Toc6232"/>
      <w:r>
        <w:rPr>
          <w:rFonts w:hint="eastAsia"/>
        </w:rPr>
        <w:t>3</w:t>
      </w:r>
      <w:r>
        <w:t>.3</w:t>
      </w:r>
      <w:r>
        <w:rPr>
          <w:rFonts w:hint="eastAsia"/>
        </w:rPr>
        <w:t>采购人模块</w:t>
      </w:r>
      <w:bookmarkEnd w:id="6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广大教职工通过采购人模块，办理竞价采购业务，这些功能包括：采购申请、采购公告、查阅进度、定标管理、结果公示、成交通知书、合同起草等功能。</w:t>
      </w:r>
    </w:p>
    <w:p>
      <w:pPr>
        <w:pStyle w:val="4"/>
      </w:pPr>
      <w:bookmarkStart w:id="7" w:name="_Toc12550"/>
      <w:r>
        <w:t xml:space="preserve">3.3.1 </w:t>
      </w:r>
      <w:r>
        <w:rPr>
          <w:rFonts w:hint="eastAsia"/>
        </w:rPr>
        <w:t>首页功能</w:t>
      </w:r>
      <w:bookmarkEnd w:id="7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采购人通过企业微信点击【工作台】，免密登录进入“太工网上竞价平台企业微信端“，首页及功能如下图：</w:t>
      </w:r>
    </w:p>
    <w:p>
      <w:pPr>
        <w:ind w:firstLine="0" w:firstLineChars="0"/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2305685" cy="39274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6703" cy="394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(首页及功能介绍)</w:t>
      </w:r>
    </w:p>
    <w:p>
      <w:pPr>
        <w:pStyle w:val="4"/>
      </w:pPr>
      <w:bookmarkStart w:id="8" w:name="_Toc4503"/>
      <w:r>
        <w:t xml:space="preserve">3.3.2 </w:t>
      </w:r>
      <w:r>
        <w:rPr>
          <w:rFonts w:hint="eastAsia"/>
        </w:rPr>
        <w:t>采购申请</w:t>
      </w:r>
      <w:bookmarkEnd w:id="8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采购人通过“太工网上竞价平台企业微信端“填写竞价采购需求，提交采购申请，采购申请经预定的审核流程审核通过后，系统会生成竞价公告发布至太工网上竞价平台网首页。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采购申请表单填写内容包括：项目信息、采购清单等内容。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2536825" cy="54127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7"/>
                    <a:stretch>
                      <a:fillRect/>
                    </a:stretch>
                  </pic:blipFill>
                  <pic:spPr>
                    <a:xfrm>
                      <a:off x="0" y="0"/>
                      <a:ext cx="2571376" cy="548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宋体" w:hAnsi="宋体"/>
          <w:sz w:val="24"/>
        </w:rPr>
        <w:drawing>
          <wp:inline distT="0" distB="0" distL="0" distR="0">
            <wp:extent cx="2527935" cy="5398135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4"/>
                    <a:stretch>
                      <a:fillRect/>
                    </a:stretch>
                  </pic:blipFill>
                  <pic:spPr>
                    <a:xfrm>
                      <a:off x="0" y="0"/>
                      <a:ext cx="2551240" cy="544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(项目信息) </w:t>
      </w:r>
      <w:r>
        <w:rPr>
          <w:sz w:val="18"/>
          <w:szCs w:val="18"/>
        </w:rPr>
        <w:t xml:space="preserve">                              (</w:t>
      </w:r>
      <w:r>
        <w:rPr>
          <w:rFonts w:hint="eastAsia"/>
          <w:sz w:val="18"/>
          <w:szCs w:val="18"/>
        </w:rPr>
        <w:t>采购清单)</w:t>
      </w:r>
    </w:p>
    <w:p>
      <w:pPr>
        <w:pStyle w:val="4"/>
        <w:jc w:val="left"/>
      </w:pPr>
      <w:bookmarkStart w:id="9" w:name="_Toc19205"/>
      <w:r>
        <w:rPr>
          <w:rFonts w:hint="eastAsia"/>
        </w:rPr>
        <w:t>3.3.3</w:t>
      </w:r>
      <w:r>
        <w:t xml:space="preserve"> </w:t>
      </w:r>
      <w:r>
        <w:rPr>
          <w:rFonts w:hint="eastAsia"/>
        </w:rPr>
        <w:t>我的竞价项目</w:t>
      </w:r>
      <w:bookmarkEnd w:id="9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通过【竞价项目】功能，为采购人提供查询竞价进度、办理各类竞价业务的入口。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具备对竞价项目的查询检索功能，可直观查阅到采购项目的提交申请时间、公告日期、竞价截止时间、结果公示日期、签订合同日期等。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可查阅竞价申请信息及资料，竞价公告、定标申请、结果公示、成交通知书、合同等信息。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1897380" cy="4058920"/>
            <wp:effectExtent l="0" t="0" r="7620" b="1016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rcRect t="3776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（竞价项目入口）</w:t>
      </w:r>
    </w:p>
    <w:p>
      <w:pPr>
        <w:ind w:firstLine="420"/>
        <w:rPr>
          <w:sz w:val="21"/>
          <w:szCs w:val="21"/>
        </w:rPr>
      </w:pPr>
    </w:p>
    <w:p>
      <w:pPr>
        <w:ind w:firstLine="0" w:firstLineChars="0"/>
        <w:jc w:val="center"/>
        <w:rPr>
          <w:rFonts w:ascii="宋体" w:hAnsi="宋体"/>
          <w:sz w:val="24"/>
        </w:rPr>
      </w:pPr>
      <w:r>
        <w:drawing>
          <wp:inline distT="0" distB="0" distL="114300" distR="114300">
            <wp:extent cx="2429510" cy="5203825"/>
            <wp:effectExtent l="0" t="0" r="8890" b="8255"/>
            <wp:docPr id="14" name="图片 14" descr="Screenshot_2022-07-25-17-48-45-361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2-07-25-17-48-45-361_com.tencent.mm"/>
                    <pic:cNvPicPr>
                      <a:picLocks noChangeAspect="1"/>
                    </pic:cNvPicPr>
                  </pic:nvPicPr>
                  <pic:blipFill>
                    <a:blip r:embed="rId21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drawing>
          <wp:inline distT="0" distB="0" distL="114300" distR="114300">
            <wp:extent cx="2444750" cy="5236210"/>
            <wp:effectExtent l="0" t="0" r="8890" b="6350"/>
            <wp:docPr id="15" name="图片 15" descr="Screenshot_2022-07-25-17-52-13-378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22-07-25-17-52-13-378_com.tencent.mm"/>
                    <pic:cNvPicPr>
                      <a:picLocks noChangeAspect="1"/>
                    </pic:cNvPicPr>
                  </pic:nvPicPr>
                  <pic:blipFill>
                    <a:blip r:embed="rId22"/>
                    <a:srcRect t="3668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/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 xml:space="preserve">(竞价申请信息列表) </w:t>
      </w:r>
      <w:r>
        <w:rPr>
          <w:rFonts w:ascii="宋体" w:hAnsi="宋体"/>
          <w:sz w:val="18"/>
          <w:szCs w:val="18"/>
        </w:rPr>
        <w:t xml:space="preserve">                    (</w:t>
      </w:r>
      <w:r>
        <w:rPr>
          <w:rFonts w:hint="eastAsia" w:ascii="宋体" w:hAnsi="宋体"/>
          <w:sz w:val="18"/>
          <w:szCs w:val="18"/>
        </w:rPr>
        <w:t>竞价项目详情)</w:t>
      </w:r>
    </w:p>
    <w:p>
      <w:pPr>
        <w:pStyle w:val="4"/>
      </w:pPr>
      <w:bookmarkStart w:id="10" w:name="_Toc15494"/>
      <w:r>
        <w:t>3.</w:t>
      </w:r>
      <w:r>
        <w:rPr>
          <w:rFonts w:hint="eastAsia"/>
        </w:rPr>
        <w:t>3.4</w:t>
      </w:r>
      <w:r>
        <w:t xml:space="preserve"> </w:t>
      </w:r>
      <w:r>
        <w:rPr>
          <w:rFonts w:hint="eastAsia"/>
        </w:rPr>
        <w:t>定标管理</w:t>
      </w:r>
      <w:bookmarkEnd w:id="10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竞价时间截止前，所有报价信息保密，任何相关方不能查阅；竞价时间截止后，采购人先对供应商的响应情况进行解封，方可查阅公司的报价信息、响应信息。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对于有效响应的供应商数量不足两家的竞价项目，采购人可选择延期或重新竞价，选择后经过审核，系统重新发布竞价采购公告。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采购人选定成交供应商，系统默认满足竞价需求，且报价最低的供应商成交，同为最低价供应商以报价时间早的供应商优先；原则上不可更改，若有特殊原因不选择最低价的，需要采购人选择时说明理由，通过审核后完成定标。</w:t>
      </w:r>
    </w:p>
    <w:p>
      <w:pPr>
        <w:ind w:firstLine="560"/>
        <w:rPr>
          <w:rFonts w:ascii="宋体" w:hAnsi="宋体"/>
          <w:sz w:val="24"/>
        </w:rPr>
      </w:pPr>
      <w:r>
        <w:drawing>
          <wp:inline distT="0" distB="0" distL="0" distR="0">
            <wp:extent cx="2491740" cy="4106545"/>
            <wp:effectExtent l="0" t="0" r="381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19762" cy="41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 xml:space="preserve"> </w:t>
      </w:r>
      <w:r>
        <w:drawing>
          <wp:inline distT="0" distB="0" distL="0" distR="0">
            <wp:extent cx="2042795" cy="40798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169" cy="411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(选择定标)</w:t>
      </w:r>
    </w:p>
    <w:p>
      <w:pPr>
        <w:pStyle w:val="4"/>
      </w:pPr>
      <w:bookmarkStart w:id="11" w:name="_Toc16663"/>
      <w:r>
        <w:t>3.</w:t>
      </w:r>
      <w:r>
        <w:rPr>
          <w:rFonts w:hint="eastAsia"/>
        </w:rPr>
        <w:t>3.5</w:t>
      </w:r>
      <w:r>
        <w:t xml:space="preserve"> </w:t>
      </w:r>
      <w:r>
        <w:rPr>
          <w:rFonts w:hint="eastAsia"/>
        </w:rPr>
        <w:t>结果</w:t>
      </w:r>
      <w:bookmarkEnd w:id="11"/>
      <w:r>
        <w:rPr>
          <w:rFonts w:hint="eastAsia"/>
        </w:rPr>
        <w:t>公示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定标完成后，系统自动生成结果公示，发布到竞价平台网站。</w:t>
      </w:r>
    </w:p>
    <w:p>
      <w:pPr>
        <w:pStyle w:val="4"/>
      </w:pPr>
      <w:bookmarkStart w:id="12" w:name="_Toc20700"/>
      <w:r>
        <w:t>3.</w:t>
      </w:r>
      <w:r>
        <w:rPr>
          <w:rFonts w:hint="eastAsia"/>
        </w:rPr>
        <w:t>3.</w:t>
      </w:r>
      <w:r>
        <w:t xml:space="preserve">6 </w:t>
      </w:r>
      <w:r>
        <w:rPr>
          <w:rFonts w:hint="eastAsia"/>
        </w:rPr>
        <w:t>成交通知书</w:t>
      </w:r>
      <w:bookmarkEnd w:id="12"/>
    </w:p>
    <w:p>
      <w:pPr>
        <w:ind w:firstLine="420"/>
      </w:pPr>
      <w:r>
        <w:rPr>
          <w:rFonts w:hint="eastAsia"/>
          <w:sz w:val="21"/>
          <w:szCs w:val="21"/>
        </w:rPr>
        <w:t>定标审核通过后，进行成交通知书上传审核，审核通过后供应商即可登录系统，进行下载成交通知书。</w:t>
      </w:r>
    </w:p>
    <w:p>
      <w:pPr>
        <w:ind w:firstLine="560"/>
      </w:pPr>
      <w:r>
        <w:drawing>
          <wp:inline distT="0" distB="0" distL="0" distR="0">
            <wp:extent cx="2382520" cy="52539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408" cy="527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422525" cy="5326380"/>
            <wp:effectExtent l="0" t="0" r="635" b="762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(成交通知书提交)</w:t>
      </w:r>
    </w:p>
    <w:p>
      <w:pPr>
        <w:pStyle w:val="4"/>
      </w:pPr>
      <w:bookmarkStart w:id="13" w:name="_Toc3858"/>
      <w:r>
        <w:t>3.</w:t>
      </w:r>
      <w:r>
        <w:rPr>
          <w:rFonts w:hint="eastAsia"/>
        </w:rPr>
        <w:t>3.</w:t>
      </w:r>
      <w:r>
        <w:t xml:space="preserve">7 </w:t>
      </w:r>
      <w:r>
        <w:rPr>
          <w:rFonts w:hint="eastAsia"/>
        </w:rPr>
        <w:t>合同起草</w:t>
      </w:r>
      <w:bookmarkEnd w:id="13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系统提供合同根据模板自动生成，完成起草的功能。采购人选择合同模板，系统将按照定制化模板，关键性信息自动填入合同文档，生成的合同PDF文件。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如果模板合同不能满足项目要求，也可以选择非模板合同，上传word合同文件。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合同起草完毕后，形成带水印和编号的PDF文件，审核后的合同供应商可下载打印、完成后续的签订手续。</w:t>
      </w:r>
    </w:p>
    <w:p>
      <w:pPr>
        <w:ind w:firstLine="0" w:firstLineChars="0"/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1889760" cy="41230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945" cy="412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 xml:space="preserve"> </w:t>
      </w:r>
      <w:r>
        <w:drawing>
          <wp:inline distT="0" distB="0" distL="0" distR="0">
            <wp:extent cx="2430145" cy="4109085"/>
            <wp:effectExtent l="0" t="0" r="8255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38354" cy="41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/>
        <w:jc w:val="center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(合同管理)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4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255660"/>
    <w:multiLevelType w:val="multilevel"/>
    <w:tmpl w:val="12255660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VkYTZlMTZlZGM4Y2FlYTk4ZDRmYjdmNzk0Yjk2ZWYifQ=="/>
  </w:docVars>
  <w:rsids>
    <w:rsidRoot w:val="00262487"/>
    <w:rsid w:val="00073C47"/>
    <w:rsid w:val="00087491"/>
    <w:rsid w:val="000C1418"/>
    <w:rsid w:val="000C29F1"/>
    <w:rsid w:val="001275EF"/>
    <w:rsid w:val="001363F4"/>
    <w:rsid w:val="001545E3"/>
    <w:rsid w:val="00186713"/>
    <w:rsid w:val="001B5C6D"/>
    <w:rsid w:val="001B7521"/>
    <w:rsid w:val="00201DE4"/>
    <w:rsid w:val="00211E0A"/>
    <w:rsid w:val="00224CC6"/>
    <w:rsid w:val="00230C4C"/>
    <w:rsid w:val="002353C8"/>
    <w:rsid w:val="0024494B"/>
    <w:rsid w:val="00257733"/>
    <w:rsid w:val="00262487"/>
    <w:rsid w:val="00270FA3"/>
    <w:rsid w:val="00274A01"/>
    <w:rsid w:val="002824AE"/>
    <w:rsid w:val="002E62CC"/>
    <w:rsid w:val="00304EB2"/>
    <w:rsid w:val="00316E54"/>
    <w:rsid w:val="003447BD"/>
    <w:rsid w:val="0034568C"/>
    <w:rsid w:val="003606EF"/>
    <w:rsid w:val="003621D3"/>
    <w:rsid w:val="003C5376"/>
    <w:rsid w:val="003C7992"/>
    <w:rsid w:val="003F556B"/>
    <w:rsid w:val="00413A1A"/>
    <w:rsid w:val="00443938"/>
    <w:rsid w:val="004503EE"/>
    <w:rsid w:val="0048363B"/>
    <w:rsid w:val="004D1344"/>
    <w:rsid w:val="004D15E9"/>
    <w:rsid w:val="004D6388"/>
    <w:rsid w:val="004E0A5A"/>
    <w:rsid w:val="004F0D41"/>
    <w:rsid w:val="004F2F9D"/>
    <w:rsid w:val="00533FF3"/>
    <w:rsid w:val="00534D9D"/>
    <w:rsid w:val="00591F33"/>
    <w:rsid w:val="005922CB"/>
    <w:rsid w:val="005C7A9D"/>
    <w:rsid w:val="005E10CE"/>
    <w:rsid w:val="005E4EC9"/>
    <w:rsid w:val="005E6A72"/>
    <w:rsid w:val="005F32AE"/>
    <w:rsid w:val="00636045"/>
    <w:rsid w:val="00656B45"/>
    <w:rsid w:val="0069693E"/>
    <w:rsid w:val="006C34EF"/>
    <w:rsid w:val="006F717A"/>
    <w:rsid w:val="007102A2"/>
    <w:rsid w:val="007207AC"/>
    <w:rsid w:val="00752612"/>
    <w:rsid w:val="0077142B"/>
    <w:rsid w:val="007B4BA8"/>
    <w:rsid w:val="00807466"/>
    <w:rsid w:val="00816DB0"/>
    <w:rsid w:val="00837020"/>
    <w:rsid w:val="0084454A"/>
    <w:rsid w:val="008834B4"/>
    <w:rsid w:val="00886701"/>
    <w:rsid w:val="008C30D2"/>
    <w:rsid w:val="008F5766"/>
    <w:rsid w:val="008F5A33"/>
    <w:rsid w:val="00922500"/>
    <w:rsid w:val="00946847"/>
    <w:rsid w:val="00997FFC"/>
    <w:rsid w:val="009A10C5"/>
    <w:rsid w:val="009E38D8"/>
    <w:rsid w:val="00A3022B"/>
    <w:rsid w:val="00A424A7"/>
    <w:rsid w:val="00A86910"/>
    <w:rsid w:val="00A91E04"/>
    <w:rsid w:val="00AA4BF3"/>
    <w:rsid w:val="00AB5398"/>
    <w:rsid w:val="00AB65BA"/>
    <w:rsid w:val="00B26698"/>
    <w:rsid w:val="00B334EE"/>
    <w:rsid w:val="00B45E26"/>
    <w:rsid w:val="00B91A51"/>
    <w:rsid w:val="00BA6F34"/>
    <w:rsid w:val="00BB43DE"/>
    <w:rsid w:val="00BB7116"/>
    <w:rsid w:val="00BC61BB"/>
    <w:rsid w:val="00BE7447"/>
    <w:rsid w:val="00C1193D"/>
    <w:rsid w:val="00C13C97"/>
    <w:rsid w:val="00C23112"/>
    <w:rsid w:val="00C2662A"/>
    <w:rsid w:val="00C36038"/>
    <w:rsid w:val="00C41100"/>
    <w:rsid w:val="00C610CC"/>
    <w:rsid w:val="00CB31F6"/>
    <w:rsid w:val="00CB7D87"/>
    <w:rsid w:val="00CC405A"/>
    <w:rsid w:val="00CD5C24"/>
    <w:rsid w:val="00CF3367"/>
    <w:rsid w:val="00D0288B"/>
    <w:rsid w:val="00D10C06"/>
    <w:rsid w:val="00D12116"/>
    <w:rsid w:val="00D121E5"/>
    <w:rsid w:val="00D27A94"/>
    <w:rsid w:val="00D50C60"/>
    <w:rsid w:val="00D52AC8"/>
    <w:rsid w:val="00D55A54"/>
    <w:rsid w:val="00D95886"/>
    <w:rsid w:val="00D97E29"/>
    <w:rsid w:val="00DB2F6F"/>
    <w:rsid w:val="00DC6564"/>
    <w:rsid w:val="00DC6576"/>
    <w:rsid w:val="00DD2727"/>
    <w:rsid w:val="00DD7044"/>
    <w:rsid w:val="00DF4B66"/>
    <w:rsid w:val="00E148ED"/>
    <w:rsid w:val="00E216FA"/>
    <w:rsid w:val="00E27487"/>
    <w:rsid w:val="00E75D48"/>
    <w:rsid w:val="00EC349C"/>
    <w:rsid w:val="00F0009C"/>
    <w:rsid w:val="00F11E16"/>
    <w:rsid w:val="00F2140E"/>
    <w:rsid w:val="00F3141C"/>
    <w:rsid w:val="00F438BE"/>
    <w:rsid w:val="00F66B5A"/>
    <w:rsid w:val="00F92985"/>
    <w:rsid w:val="00F937D4"/>
    <w:rsid w:val="00FA75D1"/>
    <w:rsid w:val="00FB5EE4"/>
    <w:rsid w:val="00FC3A3D"/>
    <w:rsid w:val="00FE2327"/>
    <w:rsid w:val="00FE3B59"/>
    <w:rsid w:val="011E3D92"/>
    <w:rsid w:val="0213766F"/>
    <w:rsid w:val="02B7624C"/>
    <w:rsid w:val="02D2752A"/>
    <w:rsid w:val="03463A74"/>
    <w:rsid w:val="03645630"/>
    <w:rsid w:val="03F51722"/>
    <w:rsid w:val="04087E33"/>
    <w:rsid w:val="04390EE3"/>
    <w:rsid w:val="04E02BCD"/>
    <w:rsid w:val="04FF0DD5"/>
    <w:rsid w:val="058B39C0"/>
    <w:rsid w:val="05EC709E"/>
    <w:rsid w:val="070B4DB8"/>
    <w:rsid w:val="076444C8"/>
    <w:rsid w:val="0781507A"/>
    <w:rsid w:val="09321F8B"/>
    <w:rsid w:val="09490628"/>
    <w:rsid w:val="094B5940"/>
    <w:rsid w:val="09C4451E"/>
    <w:rsid w:val="0A6D1B43"/>
    <w:rsid w:val="0AE6217F"/>
    <w:rsid w:val="0C006882"/>
    <w:rsid w:val="0C43006F"/>
    <w:rsid w:val="0D701E45"/>
    <w:rsid w:val="0EFB6F93"/>
    <w:rsid w:val="0F000F7B"/>
    <w:rsid w:val="105E064F"/>
    <w:rsid w:val="10DE3FEE"/>
    <w:rsid w:val="112A0759"/>
    <w:rsid w:val="11793BD9"/>
    <w:rsid w:val="125C296C"/>
    <w:rsid w:val="14836DB7"/>
    <w:rsid w:val="149363ED"/>
    <w:rsid w:val="14B22B28"/>
    <w:rsid w:val="169A3A63"/>
    <w:rsid w:val="17EF3F46"/>
    <w:rsid w:val="188D4734"/>
    <w:rsid w:val="196B16E7"/>
    <w:rsid w:val="19856C4C"/>
    <w:rsid w:val="19E219A9"/>
    <w:rsid w:val="1A843A78"/>
    <w:rsid w:val="1A864A2A"/>
    <w:rsid w:val="1AB857CF"/>
    <w:rsid w:val="1C2F4C4D"/>
    <w:rsid w:val="1C356329"/>
    <w:rsid w:val="1C746B04"/>
    <w:rsid w:val="20D9162C"/>
    <w:rsid w:val="21121FC1"/>
    <w:rsid w:val="227635D6"/>
    <w:rsid w:val="22A77C33"/>
    <w:rsid w:val="22F8048F"/>
    <w:rsid w:val="240D1D18"/>
    <w:rsid w:val="24B353A7"/>
    <w:rsid w:val="25577D6F"/>
    <w:rsid w:val="27425BE5"/>
    <w:rsid w:val="27967140"/>
    <w:rsid w:val="27A02EA3"/>
    <w:rsid w:val="27E2170E"/>
    <w:rsid w:val="289C6C32"/>
    <w:rsid w:val="28AB42CB"/>
    <w:rsid w:val="28F7317C"/>
    <w:rsid w:val="2ABF1892"/>
    <w:rsid w:val="2B420FFC"/>
    <w:rsid w:val="2BDE3F9A"/>
    <w:rsid w:val="2C2220D9"/>
    <w:rsid w:val="2CCB451E"/>
    <w:rsid w:val="2E1E4B22"/>
    <w:rsid w:val="2E580034"/>
    <w:rsid w:val="2F0E42DC"/>
    <w:rsid w:val="30BD45A0"/>
    <w:rsid w:val="316D2048"/>
    <w:rsid w:val="317558BE"/>
    <w:rsid w:val="31AB491E"/>
    <w:rsid w:val="31AF6B22"/>
    <w:rsid w:val="32ED7A0C"/>
    <w:rsid w:val="34000B03"/>
    <w:rsid w:val="35BF4E3C"/>
    <w:rsid w:val="37DF17C6"/>
    <w:rsid w:val="38D34E55"/>
    <w:rsid w:val="3B6444BC"/>
    <w:rsid w:val="3BFB5DFF"/>
    <w:rsid w:val="3F241BD6"/>
    <w:rsid w:val="3F654F8A"/>
    <w:rsid w:val="41764F49"/>
    <w:rsid w:val="459736E0"/>
    <w:rsid w:val="460743C1"/>
    <w:rsid w:val="464D15D0"/>
    <w:rsid w:val="46537607"/>
    <w:rsid w:val="46DD3374"/>
    <w:rsid w:val="46E2098A"/>
    <w:rsid w:val="49635DB3"/>
    <w:rsid w:val="49F92EE1"/>
    <w:rsid w:val="4C6836E0"/>
    <w:rsid w:val="4D5A127B"/>
    <w:rsid w:val="4DC42B98"/>
    <w:rsid w:val="4DFA74BB"/>
    <w:rsid w:val="500A5A3E"/>
    <w:rsid w:val="512E4EF8"/>
    <w:rsid w:val="534639ED"/>
    <w:rsid w:val="53656BCB"/>
    <w:rsid w:val="53C56466"/>
    <w:rsid w:val="54F25AE2"/>
    <w:rsid w:val="55D41DE6"/>
    <w:rsid w:val="57122BC6"/>
    <w:rsid w:val="57F4051E"/>
    <w:rsid w:val="59B13A24"/>
    <w:rsid w:val="5B503CBD"/>
    <w:rsid w:val="5D994163"/>
    <w:rsid w:val="5E1A5108"/>
    <w:rsid w:val="5ECA6633"/>
    <w:rsid w:val="5F487ACD"/>
    <w:rsid w:val="5FA12D39"/>
    <w:rsid w:val="5FD82107"/>
    <w:rsid w:val="605C3EE8"/>
    <w:rsid w:val="61BE5E24"/>
    <w:rsid w:val="638766EA"/>
    <w:rsid w:val="63D5361B"/>
    <w:rsid w:val="64D911C7"/>
    <w:rsid w:val="6518584B"/>
    <w:rsid w:val="65C85296"/>
    <w:rsid w:val="6628194C"/>
    <w:rsid w:val="67136C12"/>
    <w:rsid w:val="68EB120C"/>
    <w:rsid w:val="69C6168D"/>
    <w:rsid w:val="6A464368"/>
    <w:rsid w:val="6AD71D05"/>
    <w:rsid w:val="6D9E4D5C"/>
    <w:rsid w:val="6F765A81"/>
    <w:rsid w:val="6F912DCA"/>
    <w:rsid w:val="72897D89"/>
    <w:rsid w:val="73351CBE"/>
    <w:rsid w:val="75994786"/>
    <w:rsid w:val="76D13400"/>
    <w:rsid w:val="7774667A"/>
    <w:rsid w:val="77EF6567"/>
    <w:rsid w:val="78887814"/>
    <w:rsid w:val="7903098A"/>
    <w:rsid w:val="794E582D"/>
    <w:rsid w:val="79A877BC"/>
    <w:rsid w:val="7A0D5743"/>
    <w:rsid w:val="7A2E1732"/>
    <w:rsid w:val="7A861051"/>
    <w:rsid w:val="7D902913"/>
    <w:rsid w:val="7E2D4A68"/>
    <w:rsid w:val="7EC34622"/>
    <w:rsid w:val="7EF72C90"/>
    <w:rsid w:val="7F8C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eastAsia="宋体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ind w:firstLine="0" w:firstLineChars="0"/>
      <w:outlineLvl w:val="0"/>
    </w:pPr>
    <w:rPr>
      <w:b/>
      <w:bCs/>
      <w:kern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5" w:lineRule="auto"/>
      <w:ind w:firstLine="0" w:firstLineChars="0"/>
      <w:outlineLvl w:val="1"/>
    </w:pPr>
    <w:rPr>
      <w:rFonts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260" w:after="260" w:line="415" w:lineRule="auto"/>
      <w:ind w:firstLine="0" w:firstLineChars="0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spacing w:before="280" w:after="290" w:line="377" w:lineRule="auto"/>
      <w:ind w:firstLine="0" w:firstLineChars="0"/>
      <w:outlineLvl w:val="3"/>
    </w:pPr>
    <w:rPr>
      <w:rFonts w:asciiTheme="majorHAnsi" w:hAnsiTheme="majorHAnsi" w:cstheme="majorBidi"/>
      <w:b/>
      <w:bCs/>
      <w:szCs w:val="28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8"/>
    <w:semiHidden/>
    <w:unhideWhenUsed/>
    <w:qFormat/>
    <w:uiPriority w:val="99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tabs>
        <w:tab w:val="left" w:pos="2245"/>
        <w:tab w:val="right" w:leader="dot" w:pos="8296"/>
      </w:tabs>
      <w:ind w:left="1120" w:leftChars="400" w:firstLine="560"/>
      <w:jc w:val="left"/>
    </w:pPr>
  </w:style>
  <w:style w:type="paragraph" w:styleId="8">
    <w:name w:val="Date"/>
    <w:basedOn w:val="1"/>
    <w:next w:val="1"/>
    <w:link w:val="36"/>
    <w:semiHidden/>
    <w:unhideWhenUsed/>
    <w:qFormat/>
    <w:uiPriority w:val="99"/>
    <w:pPr>
      <w:ind w:left="100" w:leftChars="2500"/>
    </w:pPr>
  </w:style>
  <w:style w:type="paragraph" w:styleId="9">
    <w:name w:val="Balloon Text"/>
    <w:basedOn w:val="1"/>
    <w:link w:val="3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tabs>
        <w:tab w:val="right" w:leader="dot" w:pos="8296"/>
      </w:tabs>
      <w:ind w:firstLine="562"/>
    </w:pPr>
    <w:rPr>
      <w:rFonts w:ascii="宋体" w:hAnsi="宋体"/>
      <w:b/>
      <w:bCs/>
      <w:szCs w:val="28"/>
    </w:r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annotation subject"/>
    <w:basedOn w:val="6"/>
    <w:next w:val="6"/>
    <w:link w:val="29"/>
    <w:semiHidden/>
    <w:unhideWhenUsed/>
    <w:qFormat/>
    <w:uiPriority w:val="99"/>
    <w:rPr>
      <w:b/>
      <w:bCs/>
    </w:r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FollowedHyperlink"/>
    <w:basedOn w:val="1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7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7"/>
    <w:semiHidden/>
    <w:unhideWhenUsed/>
    <w:qFormat/>
    <w:uiPriority w:val="99"/>
    <w:rPr>
      <w:sz w:val="21"/>
      <w:szCs w:val="21"/>
    </w:rPr>
  </w:style>
  <w:style w:type="character" w:customStyle="1" w:styleId="2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22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23">
    <w:name w:val="标题 1 字符"/>
    <w:basedOn w:val="17"/>
    <w:link w:val="2"/>
    <w:qFormat/>
    <w:uiPriority w:val="9"/>
    <w:rPr>
      <w:rFonts w:eastAsia="宋体"/>
      <w:b/>
      <w:bCs/>
      <w:kern w:val="44"/>
      <w:sz w:val="28"/>
      <w:szCs w:val="44"/>
    </w:rPr>
  </w:style>
  <w:style w:type="character" w:customStyle="1" w:styleId="24">
    <w:name w:val="标题 2 字符"/>
    <w:basedOn w:val="17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character" w:customStyle="1" w:styleId="25">
    <w:name w:val="标题 3 字符"/>
    <w:basedOn w:val="17"/>
    <w:link w:val="4"/>
    <w:qFormat/>
    <w:uiPriority w:val="9"/>
    <w:rPr>
      <w:rFonts w:eastAsia="宋体"/>
      <w:b/>
      <w:bCs/>
      <w:sz w:val="28"/>
      <w:szCs w:val="32"/>
    </w:rPr>
  </w:style>
  <w:style w:type="character" w:customStyle="1" w:styleId="26">
    <w:name w:val="标题 4 字符"/>
    <w:basedOn w:val="17"/>
    <w:link w:val="5"/>
    <w:qFormat/>
    <w:uiPriority w:val="9"/>
    <w:rPr>
      <w:rFonts w:eastAsia="宋体" w:asciiTheme="majorHAnsi" w:hAnsiTheme="majorHAnsi" w:cstheme="majorBidi"/>
      <w:b/>
      <w:bCs/>
      <w:sz w:val="28"/>
      <w:szCs w:val="28"/>
    </w:rPr>
  </w:style>
  <w:style w:type="paragraph" w:styleId="27">
    <w:name w:val="List Paragraph"/>
    <w:basedOn w:val="1"/>
    <w:qFormat/>
    <w:uiPriority w:val="34"/>
    <w:pPr>
      <w:ind w:firstLine="420"/>
    </w:pPr>
  </w:style>
  <w:style w:type="character" w:customStyle="1" w:styleId="28">
    <w:name w:val="批注文字 字符"/>
    <w:basedOn w:val="17"/>
    <w:link w:val="6"/>
    <w:semiHidden/>
    <w:qFormat/>
    <w:uiPriority w:val="99"/>
    <w:rPr>
      <w:rFonts w:eastAsia="宋体"/>
      <w:sz w:val="28"/>
    </w:rPr>
  </w:style>
  <w:style w:type="character" w:customStyle="1" w:styleId="29">
    <w:name w:val="批注主题 字符"/>
    <w:basedOn w:val="28"/>
    <w:link w:val="14"/>
    <w:semiHidden/>
    <w:qFormat/>
    <w:uiPriority w:val="99"/>
    <w:rPr>
      <w:rFonts w:eastAsia="宋体"/>
      <w:b/>
      <w:bCs/>
      <w:sz w:val="28"/>
    </w:rPr>
  </w:style>
  <w:style w:type="character" w:customStyle="1" w:styleId="30">
    <w:name w:val="批注框文本 字符"/>
    <w:basedOn w:val="17"/>
    <w:link w:val="9"/>
    <w:semiHidden/>
    <w:qFormat/>
    <w:uiPriority w:val="99"/>
    <w:rPr>
      <w:rFonts w:eastAsia="宋体"/>
      <w:sz w:val="18"/>
      <w:szCs w:val="18"/>
    </w:rPr>
  </w:style>
  <w:style w:type="character" w:customStyle="1" w:styleId="31">
    <w:name w:val="表头样式 Char"/>
    <w:link w:val="32"/>
    <w:qFormat/>
    <w:uiPriority w:val="0"/>
    <w:rPr>
      <w:rFonts w:ascii="Arial" w:hAnsi="Arial"/>
      <w:b/>
      <w:szCs w:val="21"/>
    </w:rPr>
  </w:style>
  <w:style w:type="paragraph" w:customStyle="1" w:styleId="32">
    <w:name w:val="表头样式"/>
    <w:basedOn w:val="1"/>
    <w:link w:val="31"/>
    <w:qFormat/>
    <w:uiPriority w:val="0"/>
    <w:pPr>
      <w:autoSpaceDE w:val="0"/>
      <w:autoSpaceDN w:val="0"/>
      <w:adjustRightInd w:val="0"/>
      <w:spacing w:line="240" w:lineRule="auto"/>
      <w:ind w:firstLine="0" w:firstLineChars="0"/>
      <w:jc w:val="center"/>
    </w:pPr>
    <w:rPr>
      <w:rFonts w:ascii="Arial" w:hAnsi="Arial" w:eastAsiaTheme="minorEastAsia"/>
      <w:b/>
      <w:sz w:val="21"/>
      <w:szCs w:val="21"/>
    </w:rPr>
  </w:style>
  <w:style w:type="paragraph" w:customStyle="1" w:styleId="33">
    <w:name w:val="修订记录"/>
    <w:basedOn w:val="1"/>
    <w:qFormat/>
    <w:uiPriority w:val="0"/>
    <w:pPr>
      <w:widowControl/>
      <w:autoSpaceDE w:val="0"/>
      <w:autoSpaceDN w:val="0"/>
      <w:adjustRightInd w:val="0"/>
      <w:spacing w:before="300" w:after="150"/>
      <w:ind w:firstLine="0" w:firstLineChars="0"/>
      <w:jc w:val="center"/>
    </w:pPr>
    <w:rPr>
      <w:rFonts w:ascii="Arial" w:hAnsi="Arial" w:eastAsia="黑体" w:cs="Times New Roman"/>
      <w:kern w:val="0"/>
      <w:sz w:val="32"/>
      <w:szCs w:val="32"/>
    </w:rPr>
  </w:style>
  <w:style w:type="paragraph" w:customStyle="1" w:styleId="34">
    <w:name w:val="表格文本"/>
    <w:basedOn w:val="1"/>
    <w:qFormat/>
    <w:uiPriority w:val="0"/>
    <w:pPr>
      <w:tabs>
        <w:tab w:val="decimal" w:pos="0"/>
      </w:tabs>
      <w:autoSpaceDE w:val="0"/>
      <w:autoSpaceDN w:val="0"/>
      <w:adjustRightInd w:val="0"/>
      <w:spacing w:line="240" w:lineRule="auto"/>
      <w:ind w:firstLine="0" w:firstLineChars="0"/>
      <w:jc w:val="left"/>
    </w:pPr>
    <w:rPr>
      <w:rFonts w:ascii="Arial" w:hAnsi="Arial" w:cs="Times New Roman"/>
      <w:kern w:val="0"/>
      <w:sz w:val="21"/>
      <w:szCs w:val="21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36">
    <w:name w:val="日期 字符"/>
    <w:basedOn w:val="17"/>
    <w:link w:val="8"/>
    <w:semiHidden/>
    <w:qFormat/>
    <w:uiPriority w:val="99"/>
    <w:rPr>
      <w:rFonts w:eastAsia="宋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pn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1549</Words>
  <Characters>1681</Characters>
  <Lines>19</Lines>
  <Paragraphs>5</Paragraphs>
  <TotalTime>123</TotalTime>
  <ScaleCrop>false</ScaleCrop>
  <LinksUpToDate>false</LinksUpToDate>
  <CharactersWithSpaces>1805</CharactersWithSpaces>
  <Application>WPS Office_11.1.0.11753_F1E327BC-269C-435d-A152-05C5408002CA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2022-01-26T05:04:00Z</dcterms:created>
  <dc:creator>康 乔</dc:creator>
  <cp:lastModifiedBy>dell</cp:lastModifiedBy>
  <dcterms:modified xsi:type="dcterms:W3CDTF">2022-08-09T01:57:39Z</dcterms:modified>
  <cp:revision>328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2052-11.1.0.11753</vt:lpwstr>
  </property>
  <property fmtid="{D5CDD505-2E9C-101B-9397-08002B2CF9AE}" pid="3" name="ICV">
    <vt:lpwstr>B327C05D33EC433AA0770C561E6FE95F</vt:lpwstr>
  </property>
</Properties>
</file>